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eastAsiaTheme="minorEastAsia" w:hAnsiTheme="minorHAnsi" w:cstheme="minorBidi"/>
          <w:color w:val="auto"/>
          <w:sz w:val="28"/>
          <w:szCs w:val="22"/>
        </w:rPr>
        <w:id w:val="-23335330"/>
        <w:docPartObj>
          <w:docPartGallery w:val="Table of Contents"/>
          <w:docPartUnique/>
        </w:docPartObj>
      </w:sdtPr>
      <w:sdtEndPr>
        <w:rPr>
          <w:b/>
          <w:bCs/>
          <w:noProof/>
          <w:sz w:val="22"/>
        </w:rPr>
      </w:sdtEndPr>
      <w:sdtContent>
        <w:p w:rsidR="00EB148E" w:rsidRPr="00EB148E" w:rsidRDefault="00EB148E">
          <w:pPr>
            <w:pStyle w:val="TOCHeading"/>
          </w:pPr>
          <w:r w:rsidRPr="00EB148E">
            <w:t>Contents</w:t>
          </w:r>
        </w:p>
        <w:p w:rsidR="006D5C36" w:rsidRDefault="00F00DDE">
          <w:pPr>
            <w:pStyle w:val="TOC1"/>
            <w:tabs>
              <w:tab w:val="right" w:leader="dot" w:pos="9350"/>
            </w:tabs>
            <w:rPr>
              <w:noProof/>
              <w:lang w:eastAsia="en-CA"/>
            </w:rPr>
          </w:pPr>
          <w:r w:rsidRPr="00F00DDE">
            <w:fldChar w:fldCharType="begin"/>
          </w:r>
          <w:r w:rsidR="00EB148E">
            <w:instrText xml:space="preserve"> TOC \o "1-3" \h \z \u </w:instrText>
          </w:r>
          <w:r w:rsidRPr="00F00DDE">
            <w:fldChar w:fldCharType="separate"/>
          </w:r>
          <w:hyperlink w:anchor="_Toc410745486" w:history="1">
            <w:r w:rsidR="006D5C36" w:rsidRPr="0058542A">
              <w:rPr>
                <w:rStyle w:val="Hyperlink"/>
                <w:noProof/>
              </w:rPr>
              <w:t>(A) Hardships on Zimbabwean Women</w:t>
            </w:r>
            <w:r w:rsidR="006D5C36">
              <w:rPr>
                <w:noProof/>
                <w:webHidden/>
              </w:rPr>
              <w:tab/>
            </w:r>
            <w:r>
              <w:rPr>
                <w:noProof/>
                <w:webHidden/>
              </w:rPr>
              <w:fldChar w:fldCharType="begin"/>
            </w:r>
            <w:r w:rsidR="006D5C36">
              <w:rPr>
                <w:noProof/>
                <w:webHidden/>
              </w:rPr>
              <w:instrText xml:space="preserve"> PAGEREF _Toc410745486 \h </w:instrText>
            </w:r>
            <w:r>
              <w:rPr>
                <w:noProof/>
                <w:webHidden/>
              </w:rPr>
            </w:r>
            <w:r>
              <w:rPr>
                <w:noProof/>
                <w:webHidden/>
              </w:rPr>
              <w:fldChar w:fldCharType="separate"/>
            </w:r>
            <w:r w:rsidR="006D5C36">
              <w:rPr>
                <w:noProof/>
                <w:webHidden/>
              </w:rPr>
              <w:t>1</w:t>
            </w:r>
            <w:r>
              <w:rPr>
                <w:noProof/>
                <w:webHidden/>
              </w:rPr>
              <w:fldChar w:fldCharType="end"/>
            </w:r>
          </w:hyperlink>
        </w:p>
        <w:p w:rsidR="006D5C36" w:rsidRDefault="00F00DDE">
          <w:pPr>
            <w:pStyle w:val="TOC2"/>
            <w:tabs>
              <w:tab w:val="right" w:leader="dot" w:pos="9350"/>
            </w:tabs>
            <w:rPr>
              <w:noProof/>
              <w:lang w:eastAsia="en-CA"/>
            </w:rPr>
          </w:pPr>
          <w:hyperlink w:anchor="_Toc410745487" w:history="1">
            <w:r w:rsidR="006D5C36" w:rsidRPr="0058542A">
              <w:rPr>
                <w:rStyle w:val="Hyperlink"/>
                <w:noProof/>
              </w:rPr>
              <w:t>Gender-based violence</w:t>
            </w:r>
            <w:r w:rsidR="006D5C36">
              <w:rPr>
                <w:noProof/>
                <w:webHidden/>
              </w:rPr>
              <w:tab/>
            </w:r>
            <w:r>
              <w:rPr>
                <w:noProof/>
                <w:webHidden/>
              </w:rPr>
              <w:fldChar w:fldCharType="begin"/>
            </w:r>
            <w:r w:rsidR="006D5C36">
              <w:rPr>
                <w:noProof/>
                <w:webHidden/>
              </w:rPr>
              <w:instrText xml:space="preserve"> PAGEREF _Toc410745487 \h </w:instrText>
            </w:r>
            <w:r>
              <w:rPr>
                <w:noProof/>
                <w:webHidden/>
              </w:rPr>
            </w:r>
            <w:r>
              <w:rPr>
                <w:noProof/>
                <w:webHidden/>
              </w:rPr>
              <w:fldChar w:fldCharType="separate"/>
            </w:r>
            <w:r w:rsidR="006D5C36">
              <w:rPr>
                <w:noProof/>
                <w:webHidden/>
              </w:rPr>
              <w:t>1</w:t>
            </w:r>
            <w:r>
              <w:rPr>
                <w:noProof/>
                <w:webHidden/>
              </w:rPr>
              <w:fldChar w:fldCharType="end"/>
            </w:r>
          </w:hyperlink>
        </w:p>
        <w:p w:rsidR="006D5C36" w:rsidRDefault="00F00DDE">
          <w:pPr>
            <w:pStyle w:val="TOC2"/>
            <w:tabs>
              <w:tab w:val="right" w:leader="dot" w:pos="9350"/>
            </w:tabs>
            <w:rPr>
              <w:noProof/>
              <w:lang w:eastAsia="en-CA"/>
            </w:rPr>
          </w:pPr>
          <w:hyperlink w:anchor="_Toc410745488" w:history="1">
            <w:r w:rsidR="006D5C36" w:rsidRPr="0058542A">
              <w:rPr>
                <w:rStyle w:val="Hyperlink"/>
                <w:noProof/>
              </w:rPr>
              <w:t>Discrimination</w:t>
            </w:r>
            <w:r w:rsidR="006D5C36">
              <w:rPr>
                <w:noProof/>
                <w:webHidden/>
              </w:rPr>
              <w:tab/>
            </w:r>
            <w:r>
              <w:rPr>
                <w:noProof/>
                <w:webHidden/>
              </w:rPr>
              <w:fldChar w:fldCharType="begin"/>
            </w:r>
            <w:r w:rsidR="006D5C36">
              <w:rPr>
                <w:noProof/>
                <w:webHidden/>
              </w:rPr>
              <w:instrText xml:space="preserve"> PAGEREF _Toc410745488 \h </w:instrText>
            </w:r>
            <w:r>
              <w:rPr>
                <w:noProof/>
                <w:webHidden/>
              </w:rPr>
            </w:r>
            <w:r>
              <w:rPr>
                <w:noProof/>
                <w:webHidden/>
              </w:rPr>
              <w:fldChar w:fldCharType="separate"/>
            </w:r>
            <w:r w:rsidR="006D5C36">
              <w:rPr>
                <w:noProof/>
                <w:webHidden/>
              </w:rPr>
              <w:t>2</w:t>
            </w:r>
            <w:r>
              <w:rPr>
                <w:noProof/>
                <w:webHidden/>
              </w:rPr>
              <w:fldChar w:fldCharType="end"/>
            </w:r>
          </w:hyperlink>
        </w:p>
        <w:p w:rsidR="006D5C36" w:rsidRDefault="00F00DDE">
          <w:pPr>
            <w:pStyle w:val="TOC2"/>
            <w:tabs>
              <w:tab w:val="right" w:leader="dot" w:pos="9350"/>
            </w:tabs>
            <w:rPr>
              <w:noProof/>
              <w:lang w:eastAsia="en-CA"/>
            </w:rPr>
          </w:pPr>
          <w:hyperlink w:anchor="_Toc410745489" w:history="1">
            <w:r w:rsidR="006D5C36" w:rsidRPr="0058542A">
              <w:rPr>
                <w:rStyle w:val="Hyperlink"/>
                <w:noProof/>
              </w:rPr>
              <w:t>Violence Related to Sexual Orientation and Gender Identity</w:t>
            </w:r>
            <w:r w:rsidR="006D5C36">
              <w:rPr>
                <w:noProof/>
                <w:webHidden/>
              </w:rPr>
              <w:tab/>
            </w:r>
            <w:r>
              <w:rPr>
                <w:noProof/>
                <w:webHidden/>
              </w:rPr>
              <w:fldChar w:fldCharType="begin"/>
            </w:r>
            <w:r w:rsidR="006D5C36">
              <w:rPr>
                <w:noProof/>
                <w:webHidden/>
              </w:rPr>
              <w:instrText xml:space="preserve"> PAGEREF _Toc410745489 \h </w:instrText>
            </w:r>
            <w:r>
              <w:rPr>
                <w:noProof/>
                <w:webHidden/>
              </w:rPr>
            </w:r>
            <w:r>
              <w:rPr>
                <w:noProof/>
                <w:webHidden/>
              </w:rPr>
              <w:fldChar w:fldCharType="separate"/>
            </w:r>
            <w:r w:rsidR="006D5C36">
              <w:rPr>
                <w:noProof/>
                <w:webHidden/>
              </w:rPr>
              <w:t>3</w:t>
            </w:r>
            <w:r>
              <w:rPr>
                <w:noProof/>
                <w:webHidden/>
              </w:rPr>
              <w:fldChar w:fldCharType="end"/>
            </w:r>
          </w:hyperlink>
        </w:p>
        <w:p w:rsidR="006D5C36" w:rsidRDefault="00F00DDE">
          <w:pPr>
            <w:pStyle w:val="TOC1"/>
            <w:tabs>
              <w:tab w:val="right" w:leader="dot" w:pos="9350"/>
            </w:tabs>
            <w:rPr>
              <w:noProof/>
              <w:lang w:eastAsia="en-CA"/>
            </w:rPr>
          </w:pPr>
          <w:hyperlink w:anchor="_Toc410745490" w:history="1">
            <w:r w:rsidR="006D5C36" w:rsidRPr="0058542A">
              <w:rPr>
                <w:rStyle w:val="Hyperlink"/>
                <w:noProof/>
              </w:rPr>
              <w:t>(B) Hardships on Zimbabwean Children</w:t>
            </w:r>
            <w:r w:rsidR="006D5C36">
              <w:rPr>
                <w:noProof/>
                <w:webHidden/>
              </w:rPr>
              <w:tab/>
            </w:r>
            <w:r>
              <w:rPr>
                <w:noProof/>
                <w:webHidden/>
              </w:rPr>
              <w:fldChar w:fldCharType="begin"/>
            </w:r>
            <w:r w:rsidR="006D5C36">
              <w:rPr>
                <w:noProof/>
                <w:webHidden/>
              </w:rPr>
              <w:instrText xml:space="preserve"> PAGEREF _Toc410745490 \h </w:instrText>
            </w:r>
            <w:r>
              <w:rPr>
                <w:noProof/>
                <w:webHidden/>
              </w:rPr>
            </w:r>
            <w:r>
              <w:rPr>
                <w:noProof/>
                <w:webHidden/>
              </w:rPr>
              <w:fldChar w:fldCharType="separate"/>
            </w:r>
            <w:r w:rsidR="006D5C36">
              <w:rPr>
                <w:noProof/>
                <w:webHidden/>
              </w:rPr>
              <w:t>3</w:t>
            </w:r>
            <w:r>
              <w:rPr>
                <w:noProof/>
                <w:webHidden/>
              </w:rPr>
              <w:fldChar w:fldCharType="end"/>
            </w:r>
          </w:hyperlink>
        </w:p>
        <w:p w:rsidR="006D5C36" w:rsidRDefault="00F00DDE">
          <w:pPr>
            <w:pStyle w:val="TOC2"/>
            <w:tabs>
              <w:tab w:val="right" w:leader="dot" w:pos="9350"/>
            </w:tabs>
            <w:rPr>
              <w:noProof/>
              <w:lang w:eastAsia="en-CA"/>
            </w:rPr>
          </w:pPr>
          <w:hyperlink w:anchor="_Toc410745491" w:history="1">
            <w:r w:rsidR="006D5C36" w:rsidRPr="0058542A">
              <w:rPr>
                <w:rStyle w:val="Hyperlink"/>
                <w:noProof/>
              </w:rPr>
              <w:t>Birth Registration</w:t>
            </w:r>
            <w:r w:rsidR="006D5C36">
              <w:rPr>
                <w:noProof/>
                <w:webHidden/>
              </w:rPr>
              <w:tab/>
            </w:r>
            <w:r>
              <w:rPr>
                <w:noProof/>
                <w:webHidden/>
              </w:rPr>
              <w:fldChar w:fldCharType="begin"/>
            </w:r>
            <w:r w:rsidR="006D5C36">
              <w:rPr>
                <w:noProof/>
                <w:webHidden/>
              </w:rPr>
              <w:instrText xml:space="preserve"> PAGEREF _Toc410745491 \h </w:instrText>
            </w:r>
            <w:r>
              <w:rPr>
                <w:noProof/>
                <w:webHidden/>
              </w:rPr>
            </w:r>
            <w:r>
              <w:rPr>
                <w:noProof/>
                <w:webHidden/>
              </w:rPr>
              <w:fldChar w:fldCharType="separate"/>
            </w:r>
            <w:r w:rsidR="006D5C36">
              <w:rPr>
                <w:noProof/>
                <w:webHidden/>
              </w:rPr>
              <w:t>3</w:t>
            </w:r>
            <w:r>
              <w:rPr>
                <w:noProof/>
                <w:webHidden/>
              </w:rPr>
              <w:fldChar w:fldCharType="end"/>
            </w:r>
          </w:hyperlink>
        </w:p>
        <w:p w:rsidR="006D5C36" w:rsidRDefault="00F00DDE">
          <w:pPr>
            <w:pStyle w:val="TOC2"/>
            <w:tabs>
              <w:tab w:val="right" w:leader="dot" w:pos="9350"/>
            </w:tabs>
            <w:rPr>
              <w:noProof/>
              <w:lang w:eastAsia="en-CA"/>
            </w:rPr>
          </w:pPr>
          <w:hyperlink w:anchor="_Toc410745492" w:history="1">
            <w:r w:rsidR="006D5C36" w:rsidRPr="0058542A">
              <w:rPr>
                <w:rStyle w:val="Hyperlink"/>
                <w:noProof/>
              </w:rPr>
              <w:t>Education &amp; Displaced Children</w:t>
            </w:r>
            <w:r w:rsidR="006D5C36">
              <w:rPr>
                <w:noProof/>
                <w:webHidden/>
              </w:rPr>
              <w:tab/>
            </w:r>
            <w:r>
              <w:rPr>
                <w:noProof/>
                <w:webHidden/>
              </w:rPr>
              <w:fldChar w:fldCharType="begin"/>
            </w:r>
            <w:r w:rsidR="006D5C36">
              <w:rPr>
                <w:noProof/>
                <w:webHidden/>
              </w:rPr>
              <w:instrText xml:space="preserve"> PAGEREF _Toc410745492 \h </w:instrText>
            </w:r>
            <w:r>
              <w:rPr>
                <w:noProof/>
                <w:webHidden/>
              </w:rPr>
            </w:r>
            <w:r>
              <w:rPr>
                <w:noProof/>
                <w:webHidden/>
              </w:rPr>
              <w:fldChar w:fldCharType="separate"/>
            </w:r>
            <w:r w:rsidR="006D5C36">
              <w:rPr>
                <w:noProof/>
                <w:webHidden/>
              </w:rPr>
              <w:t>4</w:t>
            </w:r>
            <w:r>
              <w:rPr>
                <w:noProof/>
                <w:webHidden/>
              </w:rPr>
              <w:fldChar w:fldCharType="end"/>
            </w:r>
          </w:hyperlink>
        </w:p>
        <w:p w:rsidR="006D5C36" w:rsidRDefault="00F00DDE">
          <w:pPr>
            <w:pStyle w:val="TOC3"/>
            <w:tabs>
              <w:tab w:val="right" w:leader="dot" w:pos="9350"/>
            </w:tabs>
            <w:rPr>
              <w:noProof/>
              <w:lang w:eastAsia="en-CA"/>
            </w:rPr>
          </w:pPr>
          <w:hyperlink w:anchor="_Toc410745493" w:history="1">
            <w:r w:rsidR="006D5C36" w:rsidRPr="0058542A">
              <w:rPr>
                <w:rStyle w:val="Hyperlink"/>
                <w:noProof/>
              </w:rPr>
              <w:t>Displaced Children</w:t>
            </w:r>
            <w:r w:rsidR="006D5C36">
              <w:rPr>
                <w:noProof/>
                <w:webHidden/>
              </w:rPr>
              <w:tab/>
            </w:r>
            <w:r>
              <w:rPr>
                <w:noProof/>
                <w:webHidden/>
              </w:rPr>
              <w:fldChar w:fldCharType="begin"/>
            </w:r>
            <w:r w:rsidR="006D5C36">
              <w:rPr>
                <w:noProof/>
                <w:webHidden/>
              </w:rPr>
              <w:instrText xml:space="preserve"> PAGEREF _Toc410745493 \h </w:instrText>
            </w:r>
            <w:r>
              <w:rPr>
                <w:noProof/>
                <w:webHidden/>
              </w:rPr>
            </w:r>
            <w:r>
              <w:rPr>
                <w:noProof/>
                <w:webHidden/>
              </w:rPr>
              <w:fldChar w:fldCharType="separate"/>
            </w:r>
            <w:r w:rsidR="006D5C36">
              <w:rPr>
                <w:noProof/>
                <w:webHidden/>
              </w:rPr>
              <w:t>6</w:t>
            </w:r>
            <w:r>
              <w:rPr>
                <w:noProof/>
                <w:webHidden/>
              </w:rPr>
              <w:fldChar w:fldCharType="end"/>
            </w:r>
          </w:hyperlink>
        </w:p>
        <w:p w:rsidR="006D5C36" w:rsidRDefault="00F00DDE">
          <w:pPr>
            <w:pStyle w:val="TOC2"/>
            <w:tabs>
              <w:tab w:val="right" w:leader="dot" w:pos="9350"/>
            </w:tabs>
            <w:rPr>
              <w:noProof/>
              <w:lang w:eastAsia="en-CA"/>
            </w:rPr>
          </w:pPr>
          <w:hyperlink w:anchor="_Toc410745494" w:history="1">
            <w:r w:rsidR="006D5C36" w:rsidRPr="0058542A">
              <w:rPr>
                <w:rStyle w:val="Hyperlink"/>
                <w:noProof/>
              </w:rPr>
              <w:t>Health</w:t>
            </w:r>
            <w:r w:rsidR="006D5C36">
              <w:rPr>
                <w:noProof/>
                <w:webHidden/>
              </w:rPr>
              <w:tab/>
            </w:r>
            <w:r>
              <w:rPr>
                <w:noProof/>
                <w:webHidden/>
              </w:rPr>
              <w:fldChar w:fldCharType="begin"/>
            </w:r>
            <w:r w:rsidR="006D5C36">
              <w:rPr>
                <w:noProof/>
                <w:webHidden/>
              </w:rPr>
              <w:instrText xml:space="preserve"> PAGEREF _Toc410745494 \h </w:instrText>
            </w:r>
            <w:r>
              <w:rPr>
                <w:noProof/>
                <w:webHidden/>
              </w:rPr>
            </w:r>
            <w:r>
              <w:rPr>
                <w:noProof/>
                <w:webHidden/>
              </w:rPr>
              <w:fldChar w:fldCharType="separate"/>
            </w:r>
            <w:r w:rsidR="006D5C36">
              <w:rPr>
                <w:noProof/>
                <w:webHidden/>
              </w:rPr>
              <w:t>6</w:t>
            </w:r>
            <w:r>
              <w:rPr>
                <w:noProof/>
                <w:webHidden/>
              </w:rPr>
              <w:fldChar w:fldCharType="end"/>
            </w:r>
          </w:hyperlink>
        </w:p>
        <w:p w:rsidR="006D5C36" w:rsidRDefault="00F00DDE">
          <w:pPr>
            <w:pStyle w:val="TOC2"/>
            <w:tabs>
              <w:tab w:val="right" w:leader="dot" w:pos="9350"/>
            </w:tabs>
            <w:rPr>
              <w:noProof/>
              <w:lang w:eastAsia="en-CA"/>
            </w:rPr>
          </w:pPr>
          <w:hyperlink w:anchor="_Toc410745495" w:history="1">
            <w:r w:rsidR="006D5C36" w:rsidRPr="0058542A">
              <w:rPr>
                <w:rStyle w:val="Hyperlink"/>
                <w:noProof/>
              </w:rPr>
              <w:t>Exposure to Violence</w:t>
            </w:r>
            <w:r w:rsidR="006D5C36">
              <w:rPr>
                <w:noProof/>
                <w:webHidden/>
              </w:rPr>
              <w:tab/>
            </w:r>
            <w:r>
              <w:rPr>
                <w:noProof/>
                <w:webHidden/>
              </w:rPr>
              <w:fldChar w:fldCharType="begin"/>
            </w:r>
            <w:r w:rsidR="006D5C36">
              <w:rPr>
                <w:noProof/>
                <w:webHidden/>
              </w:rPr>
              <w:instrText xml:space="preserve"> PAGEREF _Toc410745495 \h </w:instrText>
            </w:r>
            <w:r>
              <w:rPr>
                <w:noProof/>
                <w:webHidden/>
              </w:rPr>
            </w:r>
            <w:r>
              <w:rPr>
                <w:noProof/>
                <w:webHidden/>
              </w:rPr>
              <w:fldChar w:fldCharType="separate"/>
            </w:r>
            <w:r w:rsidR="006D5C36">
              <w:rPr>
                <w:noProof/>
                <w:webHidden/>
              </w:rPr>
              <w:t>6</w:t>
            </w:r>
            <w:r>
              <w:rPr>
                <w:noProof/>
                <w:webHidden/>
              </w:rPr>
              <w:fldChar w:fldCharType="end"/>
            </w:r>
          </w:hyperlink>
        </w:p>
        <w:p w:rsidR="006D5C36" w:rsidRDefault="00F00DDE">
          <w:pPr>
            <w:pStyle w:val="TOC3"/>
            <w:tabs>
              <w:tab w:val="right" w:leader="dot" w:pos="9350"/>
            </w:tabs>
            <w:rPr>
              <w:noProof/>
              <w:lang w:eastAsia="en-CA"/>
            </w:rPr>
          </w:pPr>
          <w:hyperlink w:anchor="_Toc410745496" w:history="1">
            <w:r w:rsidR="006D5C36" w:rsidRPr="0058542A">
              <w:rPr>
                <w:rStyle w:val="Hyperlink"/>
                <w:noProof/>
              </w:rPr>
              <w:t>Forced and Early Marriage</w:t>
            </w:r>
            <w:r w:rsidR="006D5C36">
              <w:rPr>
                <w:noProof/>
                <w:webHidden/>
              </w:rPr>
              <w:tab/>
            </w:r>
            <w:r>
              <w:rPr>
                <w:noProof/>
                <w:webHidden/>
              </w:rPr>
              <w:fldChar w:fldCharType="begin"/>
            </w:r>
            <w:r w:rsidR="006D5C36">
              <w:rPr>
                <w:noProof/>
                <w:webHidden/>
              </w:rPr>
              <w:instrText xml:space="preserve"> PAGEREF _Toc410745496 \h </w:instrText>
            </w:r>
            <w:r>
              <w:rPr>
                <w:noProof/>
                <w:webHidden/>
              </w:rPr>
            </w:r>
            <w:r>
              <w:rPr>
                <w:noProof/>
                <w:webHidden/>
              </w:rPr>
              <w:fldChar w:fldCharType="separate"/>
            </w:r>
            <w:r w:rsidR="006D5C36">
              <w:rPr>
                <w:noProof/>
                <w:webHidden/>
              </w:rPr>
              <w:t>7</w:t>
            </w:r>
            <w:r>
              <w:rPr>
                <w:noProof/>
                <w:webHidden/>
              </w:rPr>
              <w:fldChar w:fldCharType="end"/>
            </w:r>
          </w:hyperlink>
        </w:p>
        <w:p w:rsidR="0039264F" w:rsidRPr="00EB148E" w:rsidRDefault="00F00DDE" w:rsidP="00EB148E">
          <w:r>
            <w:rPr>
              <w:b/>
              <w:bCs/>
              <w:noProof/>
            </w:rPr>
            <w:fldChar w:fldCharType="end"/>
          </w:r>
        </w:p>
      </w:sdtContent>
    </w:sdt>
    <w:p w:rsidR="00F533E5" w:rsidRDefault="00003F05" w:rsidP="00EB148E">
      <w:pPr>
        <w:pStyle w:val="Heading1"/>
      </w:pPr>
      <w:bookmarkStart w:id="0" w:name="_Toc410745486"/>
      <w:r w:rsidRPr="00564FF5">
        <w:t xml:space="preserve">(A) </w:t>
      </w:r>
      <w:r w:rsidR="00F533E5" w:rsidRPr="00564FF5">
        <w:t>Hardships on Zimbabwean Women</w:t>
      </w:r>
      <w:bookmarkEnd w:id="0"/>
    </w:p>
    <w:p w:rsidR="00D74F6B" w:rsidRPr="00564FF5" w:rsidRDefault="00D74F6B" w:rsidP="00EB148E">
      <w:pPr>
        <w:pStyle w:val="Heading2"/>
      </w:pPr>
      <w:bookmarkStart w:id="1" w:name="_Toc410745487"/>
      <w:r w:rsidRPr="00564FF5">
        <w:t>Gender</w:t>
      </w:r>
      <w:r w:rsidR="00704241" w:rsidRPr="00564FF5">
        <w:t>-based</w:t>
      </w:r>
      <w:r w:rsidRPr="00564FF5">
        <w:t xml:space="preserve"> violence</w:t>
      </w:r>
      <w:bookmarkEnd w:id="1"/>
    </w:p>
    <w:p w:rsidR="00001B6E" w:rsidRDefault="00BB2B7D" w:rsidP="009922EA">
      <w:pPr>
        <w:spacing w:after="0" w:line="360" w:lineRule="auto"/>
        <w:ind w:firstLine="720"/>
        <w:rPr>
          <w:sz w:val="24"/>
        </w:rPr>
      </w:pPr>
      <w:r>
        <w:rPr>
          <w:sz w:val="24"/>
        </w:rPr>
        <w:t xml:space="preserve">Zimbabwean women are likely to face two main types of violence: one that is politically-motivated and one that is domestic. </w:t>
      </w:r>
      <w:r w:rsidR="00B45257">
        <w:rPr>
          <w:sz w:val="24"/>
        </w:rPr>
        <w:t xml:space="preserve">While sexual offences including rape are punishable by life imprisonment, few cases of rape are reported. </w:t>
      </w:r>
      <w:r w:rsidR="00B45257" w:rsidRPr="00B45257">
        <w:rPr>
          <w:sz w:val="24"/>
        </w:rPr>
        <w:t xml:space="preserve">Gender-based violence was </w:t>
      </w:r>
      <w:r w:rsidR="00832822">
        <w:rPr>
          <w:sz w:val="24"/>
        </w:rPr>
        <w:t xml:space="preserve">usually </w:t>
      </w:r>
      <w:r w:rsidR="00B45257" w:rsidRPr="00B45257">
        <w:rPr>
          <w:sz w:val="24"/>
        </w:rPr>
        <w:t>handled through customary law in trials b</w:t>
      </w:r>
      <w:r w:rsidR="00B45257">
        <w:rPr>
          <w:sz w:val="24"/>
        </w:rPr>
        <w:t>y chiefs of local authorities. The 2013 U.S. Department of State reports</w:t>
      </w:r>
      <w:r w:rsidR="008C3235">
        <w:rPr>
          <w:sz w:val="24"/>
        </w:rPr>
        <w:t xml:space="preserve"> on gender-based violence</w:t>
      </w:r>
      <w:r w:rsidR="00B45257">
        <w:rPr>
          <w:sz w:val="24"/>
        </w:rPr>
        <w:t xml:space="preserve">: </w:t>
      </w:r>
    </w:p>
    <w:p w:rsidR="00BB2B7D" w:rsidRDefault="00001B6E" w:rsidP="00B45257">
      <w:pPr>
        <w:spacing w:after="0" w:line="240" w:lineRule="auto"/>
        <w:ind w:left="720" w:right="720"/>
        <w:rPr>
          <w:sz w:val="24"/>
        </w:rPr>
      </w:pPr>
      <w:r w:rsidRPr="00001B6E">
        <w:rPr>
          <w:sz w:val="24"/>
        </w:rPr>
        <w:t>Approximately three in 10 women over the age of 14 in the country had suffered physical violence. More than on</w:t>
      </w:r>
      <w:r>
        <w:rPr>
          <w:sz w:val="24"/>
        </w:rPr>
        <w:t>e in four women (27 percent) have</w:t>
      </w:r>
      <w:r w:rsidRPr="00001B6E">
        <w:rPr>
          <w:sz w:val="24"/>
        </w:rPr>
        <w:t xml:space="preserve"> had forced sexual intercourse, and one-fourth of HIV-affected women were exposed to sexual violence as a child. While almost two-thirds (65 percent) of women who reported domestic violence stated that the perpetrator was their current or former husband, partner, or boyfriend, 48 percent of women interviewed believed that a husband is justified to beat his wife.</w:t>
      </w:r>
      <w:r>
        <w:rPr>
          <w:rStyle w:val="FootnoteReference"/>
          <w:sz w:val="24"/>
        </w:rPr>
        <w:footnoteReference w:id="1"/>
      </w:r>
      <w:r w:rsidRPr="00001B6E">
        <w:rPr>
          <w:sz w:val="24"/>
        </w:rPr>
        <w:t xml:space="preserve"> </w:t>
      </w:r>
    </w:p>
    <w:p w:rsidR="009922EA" w:rsidRPr="009922EA" w:rsidRDefault="00BB2B7D" w:rsidP="00B45257">
      <w:pPr>
        <w:spacing w:before="160" w:after="0" w:line="360" w:lineRule="auto"/>
        <w:ind w:firstLine="720"/>
        <w:rPr>
          <w:sz w:val="24"/>
        </w:rPr>
      </w:pPr>
      <w:r>
        <w:rPr>
          <w:sz w:val="24"/>
        </w:rPr>
        <w:t xml:space="preserve">According to the 2014 Freedom House report, Zimbabwe’s political rights ratings have improved from level 6 to level 5 (1 = best; 7 = worst) due to reduced harassment and violence </w:t>
      </w:r>
      <w:r>
        <w:rPr>
          <w:sz w:val="24"/>
        </w:rPr>
        <w:lastRenderedPageBreak/>
        <w:t>against political parties and opposition supporters during the 2013 elections.</w:t>
      </w:r>
      <w:r>
        <w:rPr>
          <w:rStyle w:val="FootnoteReference"/>
          <w:sz w:val="24"/>
        </w:rPr>
        <w:footnoteReference w:id="2"/>
      </w:r>
      <w:r w:rsidR="00B72B8B">
        <w:rPr>
          <w:sz w:val="24"/>
        </w:rPr>
        <w:t xml:space="preserve"> Nonetheless, female members of the opposition often face particular brutality from security forces. For instance, </w:t>
      </w:r>
      <w:r w:rsidR="003174A4">
        <w:rPr>
          <w:sz w:val="24"/>
        </w:rPr>
        <w:t>before</w:t>
      </w:r>
      <w:r w:rsidR="009922EA">
        <w:rPr>
          <w:sz w:val="24"/>
        </w:rPr>
        <w:t xml:space="preserve"> the </w:t>
      </w:r>
      <w:r w:rsidR="00B72B8B">
        <w:rPr>
          <w:sz w:val="24"/>
        </w:rPr>
        <w:t xml:space="preserve">2013 </w:t>
      </w:r>
      <w:r w:rsidR="003174A4">
        <w:rPr>
          <w:sz w:val="24"/>
        </w:rPr>
        <w:t>national election</w:t>
      </w:r>
      <w:r w:rsidR="009922EA">
        <w:rPr>
          <w:sz w:val="24"/>
        </w:rPr>
        <w:t>,</w:t>
      </w:r>
      <w:r w:rsidR="003174A4">
        <w:rPr>
          <w:sz w:val="24"/>
        </w:rPr>
        <w:t xml:space="preserve"> anti-riot police frequently disrupted protests by</w:t>
      </w:r>
      <w:r w:rsidR="009922EA">
        <w:rPr>
          <w:sz w:val="24"/>
        </w:rPr>
        <w:t xml:space="preserve"> the activist organization</w:t>
      </w:r>
      <w:r w:rsidR="003174A4">
        <w:rPr>
          <w:sz w:val="24"/>
        </w:rPr>
        <w:t xml:space="preserve"> Women of Zimbabwe Arise (WOZA). At least 200 arrests of WOZA members were recorded, many were beaten, and some sustained injuries.</w:t>
      </w:r>
      <w:r w:rsidR="003174A4">
        <w:rPr>
          <w:rStyle w:val="FootnoteReference"/>
          <w:sz w:val="24"/>
        </w:rPr>
        <w:footnoteReference w:id="3"/>
      </w:r>
      <w:r w:rsidR="00B72B8B">
        <w:rPr>
          <w:sz w:val="24"/>
        </w:rPr>
        <w:t xml:space="preserve"> </w:t>
      </w:r>
    </w:p>
    <w:p w:rsidR="006D5C36" w:rsidRDefault="006D5C36" w:rsidP="00EB148E">
      <w:pPr>
        <w:spacing w:after="0" w:line="360" w:lineRule="auto"/>
        <w:ind w:firstLine="720"/>
        <w:rPr>
          <w:sz w:val="24"/>
        </w:rPr>
      </w:pPr>
      <w:r>
        <w:rPr>
          <w:sz w:val="24"/>
        </w:rPr>
        <w:t>A</w:t>
      </w:r>
      <w:r w:rsidR="002E2223" w:rsidRPr="00B339E4">
        <w:rPr>
          <w:sz w:val="24"/>
        </w:rPr>
        <w:t xml:space="preserve"> 2013 “Violence </w:t>
      </w:r>
      <w:r w:rsidRPr="00B339E4">
        <w:rPr>
          <w:sz w:val="24"/>
        </w:rPr>
        <w:t>against</w:t>
      </w:r>
      <w:r w:rsidR="002E2223" w:rsidRPr="00B339E4">
        <w:rPr>
          <w:sz w:val="24"/>
        </w:rPr>
        <w:t xml:space="preserve"> Women Baseline Study” </w:t>
      </w:r>
      <w:r>
        <w:rPr>
          <w:sz w:val="24"/>
        </w:rPr>
        <w:t xml:space="preserve">published by the </w:t>
      </w:r>
      <w:r w:rsidRPr="00B339E4">
        <w:rPr>
          <w:sz w:val="24"/>
        </w:rPr>
        <w:t>Zimbabwean</w:t>
      </w:r>
      <w:r>
        <w:rPr>
          <w:sz w:val="24"/>
        </w:rPr>
        <w:t xml:space="preserve"> </w:t>
      </w:r>
      <w:r w:rsidRPr="00B339E4">
        <w:rPr>
          <w:sz w:val="24"/>
        </w:rPr>
        <w:t>Ministry</w:t>
      </w:r>
      <w:r w:rsidRPr="006D5C36">
        <w:rPr>
          <w:sz w:val="24"/>
        </w:rPr>
        <w:t xml:space="preserve"> of Women Affairs, Gender and Community Development </w:t>
      </w:r>
      <w:r>
        <w:rPr>
          <w:sz w:val="24"/>
        </w:rPr>
        <w:t xml:space="preserve">found </w:t>
      </w:r>
      <w:r w:rsidR="00D74F6B">
        <w:rPr>
          <w:sz w:val="24"/>
        </w:rPr>
        <w:t>that</w:t>
      </w:r>
      <w:r>
        <w:rPr>
          <w:sz w:val="24"/>
        </w:rPr>
        <w:t>:</w:t>
      </w:r>
    </w:p>
    <w:p w:rsidR="006D5C36" w:rsidRPr="006D5C36" w:rsidRDefault="006D5C36" w:rsidP="006D5C36">
      <w:pPr>
        <w:autoSpaceDE w:val="0"/>
        <w:autoSpaceDN w:val="0"/>
        <w:adjustRightInd w:val="0"/>
        <w:spacing w:after="0" w:line="240" w:lineRule="auto"/>
        <w:rPr>
          <w:rFonts w:ascii="Calibri" w:hAnsi="Calibri" w:cs="Calibri"/>
          <w:sz w:val="24"/>
          <w:szCs w:val="24"/>
        </w:rPr>
      </w:pPr>
      <w:r w:rsidRPr="006D5C36">
        <w:rPr>
          <w:rFonts w:ascii="Calibri" w:hAnsi="Calibri" w:cs="Calibri"/>
          <w:sz w:val="24"/>
          <w:szCs w:val="24"/>
        </w:rPr>
        <w:t>- About a quarter (26%) of women in Zimbabwe experienced some form of violence (psychological, emotional, economic, physical or sexual) perpetrated by an intimate partner in the period 2011-2012.</w:t>
      </w:r>
    </w:p>
    <w:p w:rsidR="006D5C36" w:rsidRPr="006D5C36" w:rsidRDefault="006D5C36" w:rsidP="006D5C36">
      <w:pPr>
        <w:autoSpaceDE w:val="0"/>
        <w:autoSpaceDN w:val="0"/>
        <w:adjustRightInd w:val="0"/>
        <w:spacing w:after="0" w:line="240" w:lineRule="auto"/>
        <w:rPr>
          <w:rFonts w:ascii="Calibri" w:hAnsi="Calibri" w:cs="Calibri"/>
          <w:sz w:val="24"/>
          <w:szCs w:val="24"/>
        </w:rPr>
      </w:pPr>
    </w:p>
    <w:p w:rsidR="006D5C36" w:rsidRDefault="006D5C36" w:rsidP="006D5C36">
      <w:pPr>
        <w:autoSpaceDE w:val="0"/>
        <w:autoSpaceDN w:val="0"/>
        <w:adjustRightInd w:val="0"/>
        <w:spacing w:after="0" w:line="240" w:lineRule="auto"/>
        <w:rPr>
          <w:rFonts w:ascii="Calibri" w:hAnsi="Calibri" w:cs="Calibri"/>
          <w:sz w:val="24"/>
          <w:szCs w:val="24"/>
        </w:rPr>
      </w:pPr>
      <w:r w:rsidRPr="006D5C36">
        <w:rPr>
          <w:rFonts w:ascii="Calibri" w:hAnsi="Calibri" w:cs="Calibri"/>
          <w:sz w:val="24"/>
          <w:szCs w:val="24"/>
        </w:rPr>
        <w:t xml:space="preserve">- Thirteen percent of men in the country admit to perpetrating some form of violence against their intimate partners during the same period. </w:t>
      </w:r>
    </w:p>
    <w:p w:rsidR="006D5C36" w:rsidRDefault="006D5C36" w:rsidP="006D5C36">
      <w:pPr>
        <w:autoSpaceDE w:val="0"/>
        <w:autoSpaceDN w:val="0"/>
        <w:adjustRightInd w:val="0"/>
        <w:spacing w:after="0" w:line="240" w:lineRule="auto"/>
        <w:rPr>
          <w:rFonts w:ascii="Calibri" w:hAnsi="Calibri" w:cs="Calibri"/>
          <w:sz w:val="24"/>
          <w:szCs w:val="24"/>
        </w:rPr>
      </w:pPr>
    </w:p>
    <w:p w:rsidR="006D5C36" w:rsidRPr="006D5C36" w:rsidRDefault="006D5C36" w:rsidP="006D5C36">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 </w:t>
      </w:r>
      <w:r w:rsidRPr="006D5C36">
        <w:rPr>
          <w:rFonts w:ascii="Calibri" w:hAnsi="Calibri" w:cs="Calibri"/>
          <w:sz w:val="24"/>
          <w:szCs w:val="24"/>
        </w:rPr>
        <w:t>Sixty-nine percent of women experienced while 41% of</w:t>
      </w:r>
      <w:r>
        <w:rPr>
          <w:rFonts w:ascii="Calibri" w:hAnsi="Calibri" w:cs="Calibri"/>
          <w:sz w:val="24"/>
          <w:szCs w:val="24"/>
        </w:rPr>
        <w:t xml:space="preserve"> </w:t>
      </w:r>
      <w:r w:rsidRPr="006D5C36">
        <w:rPr>
          <w:rFonts w:ascii="Calibri" w:hAnsi="Calibri" w:cs="Calibri"/>
          <w:sz w:val="24"/>
          <w:szCs w:val="24"/>
        </w:rPr>
        <w:t xml:space="preserve">men admitted to perpetrating intimate partner violence (IPV) in their lifetime. </w:t>
      </w:r>
    </w:p>
    <w:p w:rsidR="006D5C36" w:rsidRPr="006D5C36" w:rsidRDefault="006D5C36" w:rsidP="006D5C36">
      <w:pPr>
        <w:autoSpaceDE w:val="0"/>
        <w:autoSpaceDN w:val="0"/>
        <w:adjustRightInd w:val="0"/>
        <w:spacing w:after="0" w:line="240" w:lineRule="auto"/>
        <w:rPr>
          <w:rFonts w:ascii="Calibri" w:hAnsi="Calibri" w:cs="Calibri"/>
          <w:sz w:val="24"/>
          <w:szCs w:val="24"/>
        </w:rPr>
      </w:pPr>
    </w:p>
    <w:p w:rsidR="006D5C36" w:rsidRPr="006D5C36" w:rsidRDefault="006D5C36" w:rsidP="006D5C36">
      <w:pPr>
        <w:autoSpaceDE w:val="0"/>
        <w:autoSpaceDN w:val="0"/>
        <w:adjustRightInd w:val="0"/>
        <w:spacing w:after="0" w:line="240" w:lineRule="auto"/>
        <w:rPr>
          <w:rFonts w:ascii="Calibri" w:hAnsi="Calibri" w:cs="Calibri"/>
          <w:sz w:val="24"/>
          <w:szCs w:val="24"/>
        </w:rPr>
      </w:pPr>
      <w:r w:rsidRPr="006D5C36">
        <w:rPr>
          <w:rFonts w:ascii="Calibri" w:hAnsi="Calibri" w:cs="Calibri"/>
          <w:sz w:val="24"/>
          <w:szCs w:val="24"/>
        </w:rPr>
        <w:t>- Over two thirds (68%) of all women interviewed in the study experienced some form of VAW at</w:t>
      </w:r>
      <w:r>
        <w:rPr>
          <w:rFonts w:ascii="Calibri" w:hAnsi="Calibri" w:cs="Calibri"/>
          <w:sz w:val="24"/>
          <w:szCs w:val="24"/>
        </w:rPr>
        <w:t xml:space="preserve"> </w:t>
      </w:r>
      <w:r w:rsidRPr="006D5C36">
        <w:rPr>
          <w:rFonts w:ascii="Calibri" w:hAnsi="Calibri" w:cs="Calibri"/>
          <w:sz w:val="24"/>
          <w:szCs w:val="24"/>
        </w:rPr>
        <w:t>least once in their lifetime, while 46% of all men said they perpetrated some form of violence.</w:t>
      </w:r>
    </w:p>
    <w:p w:rsidR="006D5C36" w:rsidRPr="006D5C36" w:rsidRDefault="006D5C36" w:rsidP="006D5C36">
      <w:pPr>
        <w:autoSpaceDE w:val="0"/>
        <w:autoSpaceDN w:val="0"/>
        <w:adjustRightInd w:val="0"/>
        <w:spacing w:after="0" w:line="240" w:lineRule="auto"/>
        <w:rPr>
          <w:rFonts w:ascii="Calibri" w:hAnsi="Calibri" w:cs="Calibri"/>
          <w:sz w:val="24"/>
          <w:szCs w:val="24"/>
        </w:rPr>
      </w:pPr>
    </w:p>
    <w:p w:rsidR="00852704" w:rsidRPr="006D5C36" w:rsidRDefault="006D5C36" w:rsidP="006D5C36">
      <w:pPr>
        <w:autoSpaceDE w:val="0"/>
        <w:autoSpaceDN w:val="0"/>
        <w:adjustRightInd w:val="0"/>
        <w:spacing w:after="0" w:line="240" w:lineRule="auto"/>
        <w:rPr>
          <w:rFonts w:ascii="Calibri" w:hAnsi="Calibri" w:cs="Calibri"/>
          <w:sz w:val="24"/>
          <w:szCs w:val="24"/>
        </w:rPr>
      </w:pPr>
      <w:r w:rsidRPr="006D5C36">
        <w:rPr>
          <w:rFonts w:ascii="Calibri" w:hAnsi="Calibri" w:cs="Calibri"/>
          <w:sz w:val="24"/>
          <w:szCs w:val="24"/>
        </w:rPr>
        <w:t>- F</w:t>
      </w:r>
      <w:r w:rsidR="00D74F6B" w:rsidRPr="006D5C36">
        <w:rPr>
          <w:sz w:val="24"/>
          <w:szCs w:val="24"/>
        </w:rPr>
        <w:t>actors affecting the level of violence against women included patriarchal societal norms, male dominance and control, wife ownership, sexual entitlement in marriage, experience of child sexual abuse by boys, and intake of alcohol.</w:t>
      </w:r>
      <w:r w:rsidR="00C5049D" w:rsidRPr="006D5C36">
        <w:rPr>
          <w:rStyle w:val="FootnoteReference"/>
          <w:sz w:val="24"/>
          <w:szCs w:val="24"/>
        </w:rPr>
        <w:footnoteReference w:id="4"/>
      </w:r>
      <w:r w:rsidR="006C272F" w:rsidRPr="006D5C36">
        <w:rPr>
          <w:sz w:val="24"/>
          <w:szCs w:val="24"/>
        </w:rPr>
        <w:t xml:space="preserve"> </w:t>
      </w:r>
    </w:p>
    <w:p w:rsidR="006D5C36" w:rsidRDefault="006D5C36" w:rsidP="00EB148E">
      <w:pPr>
        <w:pStyle w:val="Heading2"/>
      </w:pPr>
    </w:p>
    <w:p w:rsidR="00A650E2" w:rsidRDefault="00A650E2" w:rsidP="00EB148E">
      <w:pPr>
        <w:pStyle w:val="Heading2"/>
      </w:pPr>
      <w:bookmarkStart w:id="2" w:name="_Toc410745488"/>
      <w:r w:rsidRPr="00564FF5">
        <w:t>Discrimination</w:t>
      </w:r>
      <w:bookmarkEnd w:id="2"/>
    </w:p>
    <w:p w:rsidR="006D5C36" w:rsidRPr="006D5C36" w:rsidRDefault="006D5C36" w:rsidP="006D5C36"/>
    <w:p w:rsidR="00564FF5" w:rsidRDefault="00564FF5" w:rsidP="00EB148E">
      <w:pPr>
        <w:spacing w:after="0" w:line="360" w:lineRule="auto"/>
        <w:ind w:firstLine="720"/>
        <w:rPr>
          <w:sz w:val="24"/>
        </w:rPr>
      </w:pPr>
      <w:r>
        <w:rPr>
          <w:sz w:val="24"/>
        </w:rPr>
        <w:t>The U.S. Department of State report finds that even though t</w:t>
      </w:r>
      <w:r w:rsidR="00B45257" w:rsidRPr="00B45257">
        <w:rPr>
          <w:sz w:val="24"/>
        </w:rPr>
        <w:t>he law recognizes a woman’s right to own property, patriarchal inheritance rights under customary practice</w:t>
      </w:r>
      <w:r>
        <w:rPr>
          <w:sz w:val="24"/>
        </w:rPr>
        <w:t xml:space="preserve"> prevent women from owning property</w:t>
      </w:r>
      <w:r w:rsidR="00B45257" w:rsidRPr="00B45257">
        <w:rPr>
          <w:sz w:val="24"/>
        </w:rPr>
        <w:t xml:space="preserve">. Less than 20 percent of female farmers were official landowners or named on government lease agreements. Divorce and maintenance laws were equitable, but </w:t>
      </w:r>
      <w:r w:rsidR="00B45257" w:rsidRPr="00B45257">
        <w:rPr>
          <w:sz w:val="24"/>
        </w:rPr>
        <w:lastRenderedPageBreak/>
        <w:t>many women lacked awareness of their rights. Women have the right to register their children’s births, although in practice either the fathers or male relatives must be present.</w:t>
      </w:r>
      <w:r w:rsidR="00B45257">
        <w:rPr>
          <w:rStyle w:val="FootnoteReference"/>
          <w:sz w:val="24"/>
        </w:rPr>
        <w:footnoteReference w:id="5"/>
      </w:r>
      <w:r w:rsidR="00B45257" w:rsidRPr="00B45257">
        <w:rPr>
          <w:sz w:val="24"/>
        </w:rPr>
        <w:t xml:space="preserve"> </w:t>
      </w:r>
      <w:r w:rsidRPr="00564FF5">
        <w:rPr>
          <w:sz w:val="24"/>
        </w:rPr>
        <w:t>The UK Department for International Development’s 2011 Gender and Social Exclusion Analysis Report found that women experienced extensive economic discrimination, including in access to employment, credit, pay, and owning or managing businesses, despite being responsible for 53 percent of all economic activity in the country, including 75 percent of all agricultural labor. As a result three-quarters of households headed by a woma</w:t>
      </w:r>
      <w:r>
        <w:rPr>
          <w:sz w:val="24"/>
        </w:rPr>
        <w:t>n were “poor” or “very poor.”</w:t>
      </w:r>
      <w:r>
        <w:rPr>
          <w:rStyle w:val="FootnoteReference"/>
          <w:sz w:val="24"/>
        </w:rPr>
        <w:footnoteReference w:id="6"/>
      </w:r>
      <w:r>
        <w:rPr>
          <w:sz w:val="24"/>
        </w:rPr>
        <w:t xml:space="preserve"> </w:t>
      </w:r>
    </w:p>
    <w:p w:rsidR="00EB148E" w:rsidRPr="00EB148E" w:rsidRDefault="00EB148E" w:rsidP="00EB148E">
      <w:pPr>
        <w:spacing w:after="0" w:line="360" w:lineRule="auto"/>
        <w:ind w:firstLine="720"/>
        <w:rPr>
          <w:sz w:val="24"/>
        </w:rPr>
      </w:pPr>
    </w:p>
    <w:p w:rsidR="0039264F" w:rsidRPr="00564FF5" w:rsidRDefault="00852704" w:rsidP="00EB148E">
      <w:pPr>
        <w:pStyle w:val="Heading2"/>
      </w:pPr>
      <w:bookmarkStart w:id="3" w:name="_Toc410745489"/>
      <w:r w:rsidRPr="00564FF5">
        <w:t>Violence Related to Sexual Orientation and Gender Identity</w:t>
      </w:r>
      <w:bookmarkEnd w:id="3"/>
    </w:p>
    <w:p w:rsidR="006D5C36" w:rsidRDefault="006D5C36" w:rsidP="00EB148E">
      <w:pPr>
        <w:spacing w:after="0" w:line="360" w:lineRule="auto"/>
        <w:ind w:firstLine="720"/>
        <w:rPr>
          <w:sz w:val="24"/>
        </w:rPr>
      </w:pPr>
    </w:p>
    <w:p w:rsidR="000A34E0" w:rsidRDefault="00A650E2" w:rsidP="00EB148E">
      <w:pPr>
        <w:spacing w:after="0" w:line="360" w:lineRule="auto"/>
        <w:ind w:firstLine="720"/>
        <w:rPr>
          <w:sz w:val="24"/>
        </w:rPr>
      </w:pPr>
      <w:r>
        <w:rPr>
          <w:sz w:val="24"/>
        </w:rPr>
        <w:t>Same-sex marriage and homosexual acts are still prohibited in Zimbabwe.</w:t>
      </w:r>
      <w:r>
        <w:rPr>
          <w:rStyle w:val="FootnoteReference"/>
          <w:sz w:val="24"/>
        </w:rPr>
        <w:footnoteReference w:id="7"/>
      </w:r>
      <w:r>
        <w:rPr>
          <w:sz w:val="24"/>
        </w:rPr>
        <w:t xml:space="preserve"> In July 2014, President Mugabe restated that </w:t>
      </w:r>
      <w:r w:rsidR="00E72E9A">
        <w:rPr>
          <w:sz w:val="24"/>
        </w:rPr>
        <w:t>lesbian, gay, bisexual, transgendered (LGBT)</w:t>
      </w:r>
      <w:r>
        <w:rPr>
          <w:sz w:val="24"/>
        </w:rPr>
        <w:t xml:space="preserve"> citizens are “worse than dogs and pigs,” and threatened to behead them. The new constitution does not explicitly recognize LGBT rights. Constant attacks from police have driven many LGBT people in Zimbabwe underground.</w:t>
      </w:r>
      <w:r>
        <w:rPr>
          <w:rStyle w:val="FootnoteReference"/>
          <w:sz w:val="24"/>
        </w:rPr>
        <w:footnoteReference w:id="8"/>
      </w:r>
    </w:p>
    <w:p w:rsidR="006A3944" w:rsidRPr="00564FF5" w:rsidRDefault="00003F05" w:rsidP="00EB148E">
      <w:pPr>
        <w:pStyle w:val="Heading1"/>
      </w:pPr>
      <w:bookmarkStart w:id="4" w:name="_Toc410745490"/>
      <w:r w:rsidRPr="00564FF5">
        <w:t xml:space="preserve">(B) </w:t>
      </w:r>
      <w:r w:rsidR="00243C25" w:rsidRPr="00564FF5">
        <w:t>Hardships on Zimbabwean C</w:t>
      </w:r>
      <w:r w:rsidR="006A3944" w:rsidRPr="00564FF5">
        <w:t>hildren</w:t>
      </w:r>
      <w:bookmarkEnd w:id="4"/>
      <w:r w:rsidR="006A3944" w:rsidRPr="00564FF5">
        <w:t xml:space="preserve"> </w:t>
      </w:r>
    </w:p>
    <w:p w:rsidR="006D5C36" w:rsidRDefault="006D5C36" w:rsidP="00EB148E">
      <w:pPr>
        <w:pStyle w:val="Heading2"/>
      </w:pPr>
      <w:bookmarkStart w:id="5" w:name="_Toc410745491"/>
    </w:p>
    <w:p w:rsidR="00B52818" w:rsidRDefault="00564FF5" w:rsidP="00EB148E">
      <w:pPr>
        <w:pStyle w:val="Heading2"/>
      </w:pPr>
      <w:r>
        <w:t>Birth Registration</w:t>
      </w:r>
      <w:bookmarkEnd w:id="5"/>
    </w:p>
    <w:p w:rsidR="006D5C36" w:rsidRPr="006D5C36" w:rsidRDefault="006D5C36" w:rsidP="006D5C36"/>
    <w:p w:rsidR="00564FF5" w:rsidRDefault="002243D4" w:rsidP="00564FF5">
      <w:pPr>
        <w:spacing w:after="0" w:line="360" w:lineRule="auto"/>
        <w:ind w:firstLine="720"/>
        <w:rPr>
          <w:sz w:val="24"/>
        </w:rPr>
      </w:pPr>
      <w:r>
        <w:rPr>
          <w:sz w:val="24"/>
        </w:rPr>
        <w:t>Birth registration serves as a ticket to access public services including education and health care. It</w:t>
      </w:r>
      <w:r w:rsidR="006D5C36">
        <w:rPr>
          <w:sz w:val="24"/>
        </w:rPr>
        <w:t xml:space="preserve"> provides</w:t>
      </w:r>
      <w:r w:rsidR="00AD5F45">
        <w:rPr>
          <w:sz w:val="24"/>
        </w:rPr>
        <w:t xml:space="preserve"> citizenship for children born in the country and</w:t>
      </w:r>
      <w:r w:rsidR="006D5C36">
        <w:rPr>
          <w:sz w:val="24"/>
        </w:rPr>
        <w:t xml:space="preserve"> those receiving it</w:t>
      </w:r>
      <w:r w:rsidR="00AD5F45">
        <w:rPr>
          <w:sz w:val="24"/>
        </w:rPr>
        <w:t xml:space="preserve"> from either parent</w:t>
      </w:r>
      <w:r w:rsidR="009C40BA">
        <w:rPr>
          <w:sz w:val="24"/>
        </w:rPr>
        <w:t>’s national citizenship</w:t>
      </w:r>
      <w:r w:rsidR="00AD5F45">
        <w:rPr>
          <w:sz w:val="24"/>
        </w:rPr>
        <w:t xml:space="preserve">. </w:t>
      </w:r>
      <w:r w:rsidR="009C40BA">
        <w:rPr>
          <w:sz w:val="24"/>
        </w:rPr>
        <w:t>Lacking this information and the birth certificate denies children the right to attend school and increases their vulnerability.</w:t>
      </w:r>
      <w:r w:rsidR="00AD5F45">
        <w:rPr>
          <w:sz w:val="24"/>
        </w:rPr>
        <w:t xml:space="preserve"> The U.S. Department of State reports</w:t>
      </w:r>
      <w:r w:rsidR="008C3235">
        <w:rPr>
          <w:sz w:val="24"/>
        </w:rPr>
        <w:t xml:space="preserve"> on </w:t>
      </w:r>
      <w:r w:rsidR="00E72E9A">
        <w:rPr>
          <w:sz w:val="24"/>
        </w:rPr>
        <w:t xml:space="preserve">Zimbabwean </w:t>
      </w:r>
      <w:r w:rsidR="008C3235">
        <w:rPr>
          <w:sz w:val="24"/>
        </w:rPr>
        <w:t>birth registration statistics</w:t>
      </w:r>
      <w:r w:rsidR="00AD5F45">
        <w:rPr>
          <w:sz w:val="24"/>
        </w:rPr>
        <w:t>:</w:t>
      </w:r>
    </w:p>
    <w:p w:rsidR="00AD5F45" w:rsidRDefault="00AD5F45" w:rsidP="00AD5F45">
      <w:pPr>
        <w:spacing w:after="0" w:line="240" w:lineRule="auto"/>
        <w:ind w:left="720" w:right="720"/>
        <w:rPr>
          <w:sz w:val="24"/>
        </w:rPr>
      </w:pPr>
      <w:r w:rsidRPr="00AD5F45">
        <w:rPr>
          <w:sz w:val="24"/>
        </w:rPr>
        <w:lastRenderedPageBreak/>
        <w:t>According to the 2012 government-led Demographic Health Survey (DHS), 17.7 percent of children under the age of two had a birth certificate and 39 percent had their births registered. The numbers increased with children’s age: 40.2 percent of children between the ages of two and four had birth certificates, and 56 percent had their birth registered. Children in urban households were more likely to have their birth registered than were children in rural households. The highest proportion of registered births was in Bulawayo and the lowest in Masvingo. Richer households were more likely than poor households to register children’s births.</w:t>
      </w:r>
      <w:r w:rsidR="009C40BA">
        <w:rPr>
          <w:rStyle w:val="FootnoteReference"/>
          <w:sz w:val="24"/>
        </w:rPr>
        <w:footnoteReference w:id="9"/>
      </w:r>
      <w:r w:rsidRPr="00AD5F45">
        <w:rPr>
          <w:sz w:val="24"/>
        </w:rPr>
        <w:t xml:space="preserve"> </w:t>
      </w:r>
    </w:p>
    <w:p w:rsidR="00AD5F45" w:rsidRDefault="009C40BA" w:rsidP="002243D4">
      <w:pPr>
        <w:spacing w:before="160" w:after="0" w:line="360" w:lineRule="auto"/>
        <w:rPr>
          <w:sz w:val="24"/>
        </w:rPr>
      </w:pPr>
      <w:r>
        <w:rPr>
          <w:sz w:val="24"/>
        </w:rPr>
        <w:t>There are many reasons for failing to</w:t>
      </w:r>
      <w:r w:rsidR="00AD5F45" w:rsidRPr="00AD5F45">
        <w:rPr>
          <w:sz w:val="24"/>
        </w:rPr>
        <w:t xml:space="preserve"> register births, </w:t>
      </w:r>
      <w:r>
        <w:rPr>
          <w:sz w:val="24"/>
        </w:rPr>
        <w:t>such as</w:t>
      </w:r>
      <w:r w:rsidR="00AD5F45" w:rsidRPr="00AD5F45">
        <w:rPr>
          <w:sz w:val="24"/>
        </w:rPr>
        <w:t xml:space="preserve"> the birth occurred outside of a hospital, fathers were absent or lacked time to register, parents did not have a national identity card or birth certificate, the cost of registration was high, parents lacked of knowledge about registration requirements, and the distance to a place of registration. Many orphaned children were unable to obtain birth certificates.</w:t>
      </w:r>
      <w:r>
        <w:rPr>
          <w:rStyle w:val="FootnoteReference"/>
          <w:sz w:val="24"/>
        </w:rPr>
        <w:footnoteReference w:id="10"/>
      </w:r>
      <w:r w:rsidR="00AD5F45" w:rsidRPr="00AD5F45">
        <w:rPr>
          <w:sz w:val="24"/>
        </w:rPr>
        <w:t xml:space="preserve"> </w:t>
      </w:r>
    </w:p>
    <w:p w:rsidR="00AD5F45" w:rsidRPr="00564FF5" w:rsidRDefault="00AD5F45" w:rsidP="00564FF5">
      <w:pPr>
        <w:spacing w:after="0" w:line="360" w:lineRule="auto"/>
        <w:ind w:firstLine="720"/>
        <w:rPr>
          <w:sz w:val="24"/>
        </w:rPr>
      </w:pPr>
    </w:p>
    <w:p w:rsidR="000A34E0" w:rsidRDefault="000A34E0" w:rsidP="00EB148E">
      <w:pPr>
        <w:pStyle w:val="Heading2"/>
      </w:pPr>
      <w:bookmarkStart w:id="6" w:name="_Toc410745492"/>
      <w:r w:rsidRPr="00564FF5">
        <w:t>Education</w:t>
      </w:r>
      <w:r w:rsidR="00FA3828">
        <w:t xml:space="preserve"> &amp; Displaced Children</w:t>
      </w:r>
      <w:bookmarkEnd w:id="6"/>
    </w:p>
    <w:p w:rsidR="00584362" w:rsidRPr="002243D4" w:rsidRDefault="00D11CB7" w:rsidP="00D11CB7">
      <w:pPr>
        <w:spacing w:after="0" w:line="360" w:lineRule="auto"/>
        <w:ind w:firstLine="720"/>
        <w:rPr>
          <w:sz w:val="24"/>
          <w:szCs w:val="24"/>
        </w:rPr>
      </w:pPr>
      <w:r w:rsidRPr="002243D4">
        <w:rPr>
          <w:sz w:val="24"/>
          <w:szCs w:val="24"/>
        </w:rPr>
        <w:t xml:space="preserve">According to </w:t>
      </w:r>
      <w:r w:rsidR="0029211C" w:rsidRPr="002243D4">
        <w:rPr>
          <w:sz w:val="24"/>
          <w:szCs w:val="24"/>
        </w:rPr>
        <w:t>Integrated Regional Information Networks</w:t>
      </w:r>
      <w:r w:rsidRPr="002243D4">
        <w:rPr>
          <w:sz w:val="24"/>
          <w:szCs w:val="24"/>
        </w:rPr>
        <w:t xml:space="preserve">, </w:t>
      </w:r>
      <w:r w:rsidR="00584362" w:rsidRPr="002243D4">
        <w:rPr>
          <w:sz w:val="24"/>
          <w:szCs w:val="24"/>
        </w:rPr>
        <w:t xml:space="preserve">Zimbabwe’s education was once the best in the continent, but declined due to the economic meltdown in </w:t>
      </w:r>
      <w:r w:rsidRPr="002243D4">
        <w:rPr>
          <w:sz w:val="24"/>
          <w:szCs w:val="24"/>
        </w:rPr>
        <w:t xml:space="preserve">the </w:t>
      </w:r>
      <w:r w:rsidR="00584362" w:rsidRPr="002243D4">
        <w:rPr>
          <w:sz w:val="24"/>
          <w:szCs w:val="24"/>
        </w:rPr>
        <w:t>2000s relating to hyperinflation</w:t>
      </w:r>
      <w:r w:rsidRPr="002243D4">
        <w:rPr>
          <w:sz w:val="24"/>
          <w:szCs w:val="24"/>
        </w:rPr>
        <w:t xml:space="preserve">. As a result, </w:t>
      </w:r>
      <w:r w:rsidR="00584362" w:rsidRPr="002243D4">
        <w:rPr>
          <w:sz w:val="24"/>
          <w:szCs w:val="24"/>
        </w:rPr>
        <w:t>teac</w:t>
      </w:r>
      <w:r w:rsidRPr="002243D4">
        <w:rPr>
          <w:sz w:val="24"/>
          <w:szCs w:val="24"/>
        </w:rPr>
        <w:t>her’s salaries became worthless and</w:t>
      </w:r>
      <w:r w:rsidR="00584362" w:rsidRPr="002243D4">
        <w:rPr>
          <w:sz w:val="24"/>
          <w:szCs w:val="24"/>
        </w:rPr>
        <w:t xml:space="preserve"> funding for school materials</w:t>
      </w:r>
      <w:r w:rsidRPr="002243D4">
        <w:rPr>
          <w:sz w:val="24"/>
          <w:szCs w:val="24"/>
        </w:rPr>
        <w:t xml:space="preserve"> and maintenance was impossible.</w:t>
      </w:r>
      <w:r w:rsidRPr="002243D4">
        <w:rPr>
          <w:rStyle w:val="FootnoteReference"/>
          <w:sz w:val="24"/>
          <w:szCs w:val="24"/>
        </w:rPr>
        <w:footnoteReference w:id="11"/>
      </w:r>
    </w:p>
    <w:p w:rsidR="00310B05" w:rsidRDefault="0029211C" w:rsidP="00D11CB7">
      <w:pPr>
        <w:spacing w:after="0" w:line="360" w:lineRule="auto"/>
        <w:ind w:firstLine="720"/>
        <w:rPr>
          <w:sz w:val="24"/>
        </w:rPr>
      </w:pPr>
      <w:r>
        <w:rPr>
          <w:sz w:val="24"/>
        </w:rPr>
        <w:t>Currently, p</w:t>
      </w:r>
      <w:r w:rsidR="00D03EFE">
        <w:rPr>
          <w:sz w:val="24"/>
        </w:rPr>
        <w:t>rimary education</w:t>
      </w:r>
      <w:r>
        <w:rPr>
          <w:sz w:val="24"/>
        </w:rPr>
        <w:t xml:space="preserve"> in Zimbabwe</w:t>
      </w:r>
      <w:r w:rsidR="00D03EFE">
        <w:rPr>
          <w:sz w:val="24"/>
        </w:rPr>
        <w:t xml:space="preserve"> is not compulsory, free, or universal. </w:t>
      </w:r>
      <w:r w:rsidR="00D03EFE" w:rsidRPr="00D03EFE">
        <w:rPr>
          <w:sz w:val="24"/>
        </w:rPr>
        <w:t xml:space="preserve">The new constitution </w:t>
      </w:r>
      <w:r w:rsidR="00D03EFE">
        <w:rPr>
          <w:sz w:val="24"/>
        </w:rPr>
        <w:t>reinforces that</w:t>
      </w:r>
      <w:r w:rsidR="00D03EFE" w:rsidRPr="00D03EFE">
        <w:rPr>
          <w:sz w:val="24"/>
        </w:rPr>
        <w:t xml:space="preserve"> every citizen and permanent resident of the country has a right to a basic state-funded education but adds a caveat that the state “must take reasonable legislative and other measures, within the limits of the resources available to it.”</w:t>
      </w:r>
      <w:r w:rsidR="00D03EFE">
        <w:rPr>
          <w:rStyle w:val="FootnoteReference"/>
          <w:sz w:val="24"/>
        </w:rPr>
        <w:footnoteReference w:id="12"/>
      </w:r>
      <w:r w:rsidR="00310B05">
        <w:rPr>
          <w:sz w:val="24"/>
        </w:rPr>
        <w:t xml:space="preserve"> The U.S. Department of State reports:</w:t>
      </w:r>
    </w:p>
    <w:p w:rsidR="00310B05" w:rsidRDefault="00310B05" w:rsidP="00310B05">
      <w:pPr>
        <w:spacing w:after="0" w:line="240" w:lineRule="auto"/>
        <w:ind w:left="720" w:right="720"/>
        <w:rPr>
          <w:sz w:val="24"/>
        </w:rPr>
      </w:pPr>
      <w:r w:rsidRPr="00310B05">
        <w:rPr>
          <w:sz w:val="24"/>
        </w:rPr>
        <w:t xml:space="preserve">According to the 2012 DHS, 94 percent of female and 90 percent of male children between the ages of 10 and 14 attended primary school. School attendance was only slightly higher in urban than in rural areas, and enrollment for older children was in decline. According to the 2005-10 UNICEF Situational Analysis of Women’s and Children’s Rights in Zimbabwe, examination pass rates </w:t>
      </w:r>
      <w:r w:rsidRPr="00310B05">
        <w:rPr>
          <w:sz w:val="24"/>
        </w:rPr>
        <w:lastRenderedPageBreak/>
        <w:t>were dropping, and 50 percent of students, primarily girls, ceased attending school after grade seven.</w:t>
      </w:r>
      <w:r>
        <w:rPr>
          <w:rStyle w:val="FootnoteReference"/>
          <w:sz w:val="24"/>
        </w:rPr>
        <w:footnoteReference w:id="13"/>
      </w:r>
      <w:r w:rsidRPr="00310B05">
        <w:rPr>
          <w:sz w:val="24"/>
        </w:rPr>
        <w:t xml:space="preserve"> </w:t>
      </w:r>
    </w:p>
    <w:p w:rsidR="00CC465D" w:rsidRDefault="00310B05" w:rsidP="00DA30B0">
      <w:pPr>
        <w:spacing w:before="160" w:after="0" w:line="360" w:lineRule="auto"/>
        <w:rPr>
          <w:sz w:val="24"/>
        </w:rPr>
      </w:pPr>
      <w:r w:rsidRPr="00310B05">
        <w:rPr>
          <w:sz w:val="24"/>
        </w:rPr>
        <w:t xml:space="preserve">Increasing school fees were the main reason </w:t>
      </w:r>
      <w:r w:rsidR="00CC465D">
        <w:rPr>
          <w:sz w:val="24"/>
        </w:rPr>
        <w:t>for absences</w:t>
      </w:r>
      <w:r w:rsidRPr="00310B05">
        <w:rPr>
          <w:sz w:val="24"/>
        </w:rPr>
        <w:t>, and girls were more easily able to obtain work as domestic workers than were boys. Despite a directive from the Ministry of Education that no child should be refused education for not paying school fees, there were reports that schools turned away students with unpaid fees.</w:t>
      </w:r>
      <w:r w:rsidR="00CC465D">
        <w:rPr>
          <w:rStyle w:val="FootnoteReference"/>
          <w:sz w:val="24"/>
        </w:rPr>
        <w:footnoteReference w:id="14"/>
      </w:r>
      <w:r w:rsidR="00DA30B0">
        <w:rPr>
          <w:sz w:val="24"/>
        </w:rPr>
        <w:t xml:space="preserve"> </w:t>
      </w:r>
    </w:p>
    <w:p w:rsidR="00310B05" w:rsidRDefault="00CC465D" w:rsidP="00CC465D">
      <w:pPr>
        <w:spacing w:after="0" w:line="360" w:lineRule="auto"/>
        <w:ind w:firstLine="720"/>
        <w:rPr>
          <w:sz w:val="24"/>
        </w:rPr>
      </w:pPr>
      <w:r>
        <w:rPr>
          <w:sz w:val="24"/>
        </w:rPr>
        <w:t xml:space="preserve">The Government of Zimbabwe </w:t>
      </w:r>
      <w:r w:rsidR="00EB148E">
        <w:rPr>
          <w:sz w:val="24"/>
        </w:rPr>
        <w:t>continued P</w:t>
      </w:r>
      <w:r w:rsidRPr="00CC465D">
        <w:rPr>
          <w:sz w:val="24"/>
        </w:rPr>
        <w:t xml:space="preserve">hase II of its </w:t>
      </w:r>
      <w:r w:rsidRPr="00CC465D">
        <w:rPr>
          <w:i/>
          <w:sz w:val="24"/>
        </w:rPr>
        <w:t>National Action Plan for Orphans and Vulnerable Children</w:t>
      </w:r>
      <w:r>
        <w:rPr>
          <w:sz w:val="24"/>
        </w:rPr>
        <w:t>, which also focuses</w:t>
      </w:r>
      <w:r w:rsidRPr="00CC465D">
        <w:rPr>
          <w:sz w:val="24"/>
        </w:rPr>
        <w:t xml:space="preserve"> on equity and access to quality education for children. The policy recommended a three-pronged approach to assisting at-risk children, including</w:t>
      </w:r>
      <w:r>
        <w:rPr>
          <w:sz w:val="24"/>
        </w:rPr>
        <w:t>: (1)</w:t>
      </w:r>
      <w:r w:rsidRPr="00CC465D">
        <w:rPr>
          <w:sz w:val="24"/>
        </w:rPr>
        <w:t xml:space="preserve"> providing child protection and health services,</w:t>
      </w:r>
      <w:r>
        <w:rPr>
          <w:sz w:val="24"/>
        </w:rPr>
        <w:t xml:space="preserve"> (2)</w:t>
      </w:r>
      <w:r w:rsidRPr="00CC465D">
        <w:rPr>
          <w:sz w:val="24"/>
        </w:rPr>
        <w:t xml:space="preserve"> delivering conditional cash transfers, and </w:t>
      </w:r>
      <w:r>
        <w:rPr>
          <w:sz w:val="24"/>
        </w:rPr>
        <w:t xml:space="preserve">(3) </w:t>
      </w:r>
      <w:r w:rsidRPr="00CC465D">
        <w:rPr>
          <w:sz w:val="24"/>
        </w:rPr>
        <w:t>continuing the basic education assistance module (BEAM). Donors fulfilled their pledges by sending money for the plan and BEAM, but the government did not mana</w:t>
      </w:r>
      <w:r>
        <w:rPr>
          <w:sz w:val="24"/>
        </w:rPr>
        <w:t>ge to fund the program entirely.</w:t>
      </w:r>
      <w:r>
        <w:rPr>
          <w:rStyle w:val="FootnoteReference"/>
          <w:sz w:val="24"/>
        </w:rPr>
        <w:footnoteReference w:id="15"/>
      </w:r>
    </w:p>
    <w:p w:rsidR="006A3944" w:rsidRDefault="00877ACF" w:rsidP="00CC465D">
      <w:pPr>
        <w:spacing w:after="0" w:line="360" w:lineRule="auto"/>
        <w:ind w:firstLine="720"/>
        <w:rPr>
          <w:sz w:val="24"/>
        </w:rPr>
      </w:pPr>
      <w:r>
        <w:rPr>
          <w:sz w:val="24"/>
        </w:rPr>
        <w:t>Since the</w:t>
      </w:r>
      <w:r w:rsidR="000A34E0">
        <w:rPr>
          <w:sz w:val="24"/>
        </w:rPr>
        <w:t xml:space="preserve"> 2005</w:t>
      </w:r>
      <w:r>
        <w:rPr>
          <w:sz w:val="24"/>
        </w:rPr>
        <w:t xml:space="preserve"> </w:t>
      </w:r>
      <w:r w:rsidR="006F712C">
        <w:rPr>
          <w:sz w:val="24"/>
        </w:rPr>
        <w:t>Operation Murambatsvina</w:t>
      </w:r>
      <w:r>
        <w:rPr>
          <w:sz w:val="24"/>
        </w:rPr>
        <w:t xml:space="preserve"> </w:t>
      </w:r>
      <w:r w:rsidR="004D73C8">
        <w:rPr>
          <w:sz w:val="24"/>
        </w:rPr>
        <w:t xml:space="preserve">that </w:t>
      </w:r>
      <w:r w:rsidR="003174A4">
        <w:rPr>
          <w:sz w:val="24"/>
        </w:rPr>
        <w:t>forced the eviction of</w:t>
      </w:r>
      <w:r w:rsidR="000A34E0">
        <w:rPr>
          <w:sz w:val="24"/>
        </w:rPr>
        <w:t xml:space="preserve"> thousands of children and their families</w:t>
      </w:r>
      <w:r>
        <w:rPr>
          <w:sz w:val="24"/>
        </w:rPr>
        <w:t xml:space="preserve">, the Government of Zimbabwe has done little to nothing </w:t>
      </w:r>
      <w:r w:rsidR="00283AFE">
        <w:rPr>
          <w:sz w:val="24"/>
        </w:rPr>
        <w:t>for them</w:t>
      </w:r>
      <w:r>
        <w:rPr>
          <w:sz w:val="24"/>
        </w:rPr>
        <w:t xml:space="preserve"> in terms of access to education, healthcare, roads</w:t>
      </w:r>
      <w:r w:rsidR="004D73C8">
        <w:rPr>
          <w:sz w:val="24"/>
        </w:rPr>
        <w:t>,</w:t>
      </w:r>
      <w:r>
        <w:rPr>
          <w:sz w:val="24"/>
        </w:rPr>
        <w:t xml:space="preserve"> and means of livelihood. </w:t>
      </w:r>
      <w:r w:rsidR="00283AFE">
        <w:rPr>
          <w:sz w:val="24"/>
        </w:rPr>
        <w:t xml:space="preserve">The government did not build a single school </w:t>
      </w:r>
      <w:r w:rsidR="00504CB1">
        <w:rPr>
          <w:sz w:val="24"/>
        </w:rPr>
        <w:t>through the</w:t>
      </w:r>
      <w:r w:rsidR="00283AFE">
        <w:rPr>
          <w:sz w:val="24"/>
        </w:rPr>
        <w:t xml:space="preserve"> Operation Garikai </w:t>
      </w:r>
      <w:r w:rsidR="00504CB1">
        <w:rPr>
          <w:sz w:val="24"/>
        </w:rPr>
        <w:t>re</w:t>
      </w:r>
      <w:r w:rsidR="00283AFE">
        <w:rPr>
          <w:sz w:val="24"/>
        </w:rPr>
        <w:t>settlem</w:t>
      </w:r>
      <w:r w:rsidR="00504CB1">
        <w:rPr>
          <w:sz w:val="24"/>
        </w:rPr>
        <w:t>ent program</w:t>
      </w:r>
      <w:r w:rsidR="00283AFE">
        <w:rPr>
          <w:sz w:val="24"/>
        </w:rPr>
        <w:t>, which forced the children to attend unregistered, makeshift or backyards schools started by community leaders and individuals. The schools lack books, trained teachers, and buildings, and do not receive government funding.</w:t>
      </w:r>
      <w:r w:rsidR="00283AFE">
        <w:rPr>
          <w:rStyle w:val="FootnoteReference"/>
          <w:sz w:val="24"/>
        </w:rPr>
        <w:footnoteReference w:id="16"/>
      </w:r>
      <w:r w:rsidR="00504CB1">
        <w:rPr>
          <w:sz w:val="24"/>
        </w:rPr>
        <w:t xml:space="preserve"> By 2013, the majority of Murambatsvina victims still lack adequate housing and have no way to rebuild their property. Most victims have moved into existing, overcrowded urban housing ar</w:t>
      </w:r>
      <w:r w:rsidR="00B72B8B">
        <w:rPr>
          <w:sz w:val="24"/>
        </w:rPr>
        <w:t>eas or remained in rural areas.</w:t>
      </w:r>
      <w:r w:rsidR="00B72B8B">
        <w:rPr>
          <w:rStyle w:val="FootnoteReference"/>
          <w:sz w:val="24"/>
        </w:rPr>
        <w:footnoteReference w:id="17"/>
      </w:r>
      <w:r w:rsidR="00B72B8B">
        <w:rPr>
          <w:sz w:val="24"/>
        </w:rPr>
        <w:t xml:space="preserve"> </w:t>
      </w:r>
    </w:p>
    <w:p w:rsidR="00B72B8B" w:rsidRDefault="00B72B8B" w:rsidP="00B72B8B">
      <w:pPr>
        <w:spacing w:after="0" w:line="360" w:lineRule="auto"/>
        <w:ind w:firstLine="720"/>
        <w:rPr>
          <w:sz w:val="24"/>
        </w:rPr>
      </w:pPr>
      <w:r>
        <w:rPr>
          <w:sz w:val="24"/>
        </w:rPr>
        <w:t xml:space="preserve">Customary laws in rural areas tend to undermine women’s civil rights and access to education. Approximately </w:t>
      </w:r>
      <w:r w:rsidRPr="00B72B8B">
        <w:rPr>
          <w:sz w:val="24"/>
        </w:rPr>
        <w:t>one-third of Zimbabwean girls do not attend primary school and two-</w:t>
      </w:r>
      <w:r w:rsidRPr="00B72B8B">
        <w:rPr>
          <w:sz w:val="24"/>
        </w:rPr>
        <w:lastRenderedPageBreak/>
        <w:t>thirds do not attend secondary school due to poverty, abuse, and discriminatory cultural practices.</w:t>
      </w:r>
      <w:r>
        <w:rPr>
          <w:rStyle w:val="FootnoteReference"/>
          <w:sz w:val="24"/>
        </w:rPr>
        <w:footnoteReference w:id="18"/>
      </w:r>
    </w:p>
    <w:p w:rsidR="00365F9D" w:rsidRDefault="00365F9D" w:rsidP="00B72B8B">
      <w:pPr>
        <w:spacing w:after="0" w:line="360" w:lineRule="auto"/>
        <w:ind w:firstLine="720"/>
        <w:rPr>
          <w:sz w:val="24"/>
        </w:rPr>
      </w:pPr>
    </w:p>
    <w:p w:rsidR="00365F9D" w:rsidRDefault="00365F9D" w:rsidP="00365F9D">
      <w:pPr>
        <w:pStyle w:val="Heading3"/>
      </w:pPr>
      <w:bookmarkStart w:id="7" w:name="_Toc410745493"/>
      <w:r>
        <w:t>Displaced Children</w:t>
      </w:r>
      <w:bookmarkEnd w:id="7"/>
    </w:p>
    <w:p w:rsidR="00365F9D" w:rsidRDefault="00365F9D" w:rsidP="00365F9D">
      <w:pPr>
        <w:spacing w:after="0" w:line="360" w:lineRule="auto"/>
        <w:ind w:firstLine="720"/>
        <w:rPr>
          <w:sz w:val="24"/>
        </w:rPr>
      </w:pPr>
      <w:r w:rsidRPr="00365F9D">
        <w:rPr>
          <w:sz w:val="24"/>
        </w:rPr>
        <w:t>A UNICEF report stated that government support of the poor “suffered from a severe lack of human and financial resources in the last decade” and was “in urgent need of review and revival to meet the growing needs of children.”</w:t>
      </w:r>
      <w:r>
        <w:rPr>
          <w:sz w:val="24"/>
        </w:rPr>
        <w:t xml:space="preserve"> </w:t>
      </w:r>
      <w:r w:rsidRPr="00365F9D">
        <w:rPr>
          <w:sz w:val="24"/>
        </w:rPr>
        <w:t>UNICEF’s 2005-10 report estimated that one-quarter of all children had lost one or both parents to HIV or other causes. The proportion of orphans in the country per capita remained very high. The vast majority of orphans were cared for by their extended family or lived in households headed by children.</w:t>
      </w:r>
    </w:p>
    <w:p w:rsidR="00B52818" w:rsidRDefault="00B52818" w:rsidP="000A34E0">
      <w:pPr>
        <w:spacing w:after="0" w:line="360" w:lineRule="auto"/>
        <w:rPr>
          <w:sz w:val="24"/>
          <w:u w:val="single"/>
        </w:rPr>
      </w:pPr>
    </w:p>
    <w:p w:rsidR="000A34E0" w:rsidRPr="00564FF5" w:rsidRDefault="000A34E0" w:rsidP="00EB148E">
      <w:pPr>
        <w:pStyle w:val="Heading2"/>
      </w:pPr>
      <w:bookmarkStart w:id="8" w:name="_Toc410745494"/>
      <w:r w:rsidRPr="00564FF5">
        <w:t>Health</w:t>
      </w:r>
      <w:bookmarkEnd w:id="8"/>
      <w:r w:rsidRPr="00564FF5">
        <w:t xml:space="preserve"> </w:t>
      </w:r>
    </w:p>
    <w:p w:rsidR="00A96148" w:rsidRDefault="00A96148" w:rsidP="00A96148">
      <w:pPr>
        <w:spacing w:after="0" w:line="360" w:lineRule="auto"/>
        <w:ind w:firstLine="720"/>
        <w:rPr>
          <w:sz w:val="24"/>
        </w:rPr>
      </w:pPr>
      <w:r>
        <w:rPr>
          <w:sz w:val="24"/>
        </w:rPr>
        <w:t xml:space="preserve">In 2010, </w:t>
      </w:r>
      <w:r w:rsidR="004D73C8">
        <w:rPr>
          <w:sz w:val="24"/>
        </w:rPr>
        <w:t>Amnesty documented a</w:t>
      </w:r>
      <w:r>
        <w:rPr>
          <w:sz w:val="24"/>
        </w:rPr>
        <w:t xml:space="preserve"> shocking number of reported deaths of newborn babies at </w:t>
      </w:r>
      <w:r w:rsidR="004D73C8">
        <w:rPr>
          <w:sz w:val="24"/>
        </w:rPr>
        <w:t xml:space="preserve">the </w:t>
      </w:r>
      <w:r>
        <w:rPr>
          <w:sz w:val="24"/>
        </w:rPr>
        <w:t>Hopley settlement in Harare.</w:t>
      </w:r>
      <w:r w:rsidR="00B52818">
        <w:rPr>
          <w:sz w:val="24"/>
        </w:rPr>
        <w:t xml:space="preserve"> While it is not confirmed, Amnesty International suggests a link between the deaths and the government’s failure to ensure access to essential, life-saving healthcare for Operation Murambatsvina victims.</w:t>
      </w:r>
      <w:r w:rsidR="00283AFE">
        <w:rPr>
          <w:rStyle w:val="FootnoteReference"/>
          <w:sz w:val="24"/>
        </w:rPr>
        <w:footnoteReference w:id="19"/>
      </w:r>
      <w:r w:rsidR="00B52818">
        <w:rPr>
          <w:sz w:val="24"/>
        </w:rPr>
        <w:t xml:space="preserve"> </w:t>
      </w:r>
    </w:p>
    <w:p w:rsidR="006C5E94" w:rsidRDefault="006C4B20" w:rsidP="00A96148">
      <w:pPr>
        <w:spacing w:after="0" w:line="360" w:lineRule="auto"/>
        <w:ind w:firstLine="720"/>
        <w:rPr>
          <w:sz w:val="24"/>
        </w:rPr>
      </w:pPr>
      <w:r>
        <w:rPr>
          <w:sz w:val="24"/>
        </w:rPr>
        <w:t>However, a</w:t>
      </w:r>
      <w:r w:rsidR="006C5E94">
        <w:rPr>
          <w:sz w:val="24"/>
        </w:rPr>
        <w:t xml:space="preserve"> 2013 UNICEF Annual Report on Zimbabwe highlights the Young Child Survival an</w:t>
      </w:r>
      <w:r w:rsidR="00DA30B0">
        <w:rPr>
          <w:sz w:val="24"/>
        </w:rPr>
        <w:t>d Development</w:t>
      </w:r>
      <w:r w:rsidR="006C5E94">
        <w:rPr>
          <w:sz w:val="24"/>
        </w:rPr>
        <w:t xml:space="preserve"> programme, which is managed by UNICEF through the Health Transition Fund (HTF). There is improved access to quality maternal, newborn, and child health services: </w:t>
      </w:r>
    </w:p>
    <w:p w:rsidR="006C5E94" w:rsidRDefault="006C5E94" w:rsidP="002243D4">
      <w:pPr>
        <w:spacing w:after="0" w:line="240" w:lineRule="auto"/>
        <w:ind w:left="720" w:right="720"/>
        <w:rPr>
          <w:sz w:val="24"/>
        </w:rPr>
      </w:pPr>
      <w:r>
        <w:rPr>
          <w:sz w:val="24"/>
        </w:rPr>
        <w:t>. . . the number of doctors at district level has increased from 70 in 2011 to 126 in 2013 and practicing midwives from 500 in 2011 to 1,500 in 2013.  The HTF also provided allowances to all 18,800 health personnel and 3,160 Village Health Workers.</w:t>
      </w:r>
      <w:r>
        <w:rPr>
          <w:rStyle w:val="FootnoteReference"/>
          <w:sz w:val="24"/>
        </w:rPr>
        <w:footnoteReference w:id="20"/>
      </w:r>
    </w:p>
    <w:p w:rsidR="00B52818" w:rsidRDefault="00B52818" w:rsidP="000A34E0">
      <w:pPr>
        <w:spacing w:after="0" w:line="360" w:lineRule="auto"/>
        <w:rPr>
          <w:sz w:val="24"/>
          <w:u w:val="single"/>
        </w:rPr>
      </w:pPr>
    </w:p>
    <w:p w:rsidR="000A34E0" w:rsidRPr="00EB148E" w:rsidRDefault="000A34E0" w:rsidP="00EB148E">
      <w:pPr>
        <w:pStyle w:val="Heading2"/>
      </w:pPr>
      <w:bookmarkStart w:id="9" w:name="_Toc410745495"/>
      <w:r w:rsidRPr="00EB148E">
        <w:lastRenderedPageBreak/>
        <w:t>Exposure to Violence</w:t>
      </w:r>
      <w:bookmarkEnd w:id="9"/>
    </w:p>
    <w:p w:rsidR="00BC76F1" w:rsidRDefault="00584362" w:rsidP="00E95405">
      <w:pPr>
        <w:spacing w:after="0" w:line="360" w:lineRule="auto"/>
        <w:ind w:firstLine="720"/>
        <w:rPr>
          <w:sz w:val="24"/>
        </w:rPr>
      </w:pPr>
      <w:r>
        <w:rPr>
          <w:sz w:val="24"/>
        </w:rPr>
        <w:t xml:space="preserve">In the U.S. Department of State report, child abuse includes incest, infanticide, child abandonment, and rape, all of which continue to be serious problems in Zimbabwe. </w:t>
      </w:r>
      <w:r w:rsidR="0014143F">
        <w:rPr>
          <w:sz w:val="24"/>
        </w:rPr>
        <w:t xml:space="preserve">In 2012, </w:t>
      </w:r>
      <w:r>
        <w:rPr>
          <w:sz w:val="24"/>
        </w:rPr>
        <w:t xml:space="preserve">Childline Zimbabwe reported counselling more than </w:t>
      </w:r>
      <w:r w:rsidR="0014143F">
        <w:rPr>
          <w:sz w:val="24"/>
        </w:rPr>
        <w:t xml:space="preserve">9,000 children directly affected by abuse, generally caused by a relative or someone living with the child. Approximately twice as many girls reported abuse as boys. </w:t>
      </w:r>
      <w:r w:rsidR="00BC76F1">
        <w:rPr>
          <w:sz w:val="24"/>
        </w:rPr>
        <w:t>Between January and August 2013, Childline also reported counselling 80 boys and 915 girls specifically for sexual abuse.</w:t>
      </w:r>
      <w:r w:rsidR="0029211C">
        <w:rPr>
          <w:rStyle w:val="FootnoteReference"/>
          <w:sz w:val="24"/>
        </w:rPr>
        <w:footnoteReference w:id="21"/>
      </w:r>
      <w:r w:rsidR="00BC76F1">
        <w:rPr>
          <w:sz w:val="24"/>
        </w:rPr>
        <w:t xml:space="preserve"> </w:t>
      </w:r>
    </w:p>
    <w:p w:rsidR="00584362" w:rsidRDefault="0014143F" w:rsidP="00984CCA">
      <w:pPr>
        <w:spacing w:after="0" w:line="360" w:lineRule="auto"/>
        <w:ind w:firstLine="720"/>
        <w:rPr>
          <w:sz w:val="24"/>
        </w:rPr>
      </w:pPr>
      <w:r w:rsidRPr="0014143F">
        <w:rPr>
          <w:sz w:val="24"/>
        </w:rPr>
        <w:t xml:space="preserve">The new constitution </w:t>
      </w:r>
      <w:r>
        <w:rPr>
          <w:sz w:val="24"/>
        </w:rPr>
        <w:t>states</w:t>
      </w:r>
      <w:r w:rsidRPr="0014143F">
        <w:rPr>
          <w:sz w:val="24"/>
        </w:rPr>
        <w:t xml:space="preserve"> that “no person may be subjected to cruel, inhuman, or degrading treatment or</w:t>
      </w:r>
      <w:r w:rsidR="00FA3828">
        <w:rPr>
          <w:sz w:val="24"/>
        </w:rPr>
        <w:t xml:space="preserve"> punishment,” but the courts have</w:t>
      </w:r>
      <w:r w:rsidRPr="0014143F">
        <w:rPr>
          <w:sz w:val="24"/>
        </w:rPr>
        <w:t xml:space="preserve"> </w:t>
      </w:r>
      <w:r w:rsidR="00FA3828">
        <w:rPr>
          <w:sz w:val="24"/>
        </w:rPr>
        <w:t>neither</w:t>
      </w:r>
      <w:r w:rsidRPr="0014143F">
        <w:rPr>
          <w:sz w:val="24"/>
        </w:rPr>
        <w:t xml:space="preserve"> interpreted the clause </w:t>
      </w:r>
      <w:r w:rsidR="00FA3828">
        <w:rPr>
          <w:sz w:val="24"/>
        </w:rPr>
        <w:t>nor</w:t>
      </w:r>
      <w:r w:rsidRPr="0014143F">
        <w:rPr>
          <w:sz w:val="24"/>
        </w:rPr>
        <w:t xml:space="preserve"> determined whether it applied to corporal punishment.</w:t>
      </w:r>
      <w:r w:rsidR="00FA3828">
        <w:rPr>
          <w:sz w:val="24"/>
        </w:rPr>
        <w:t xml:space="preserve"> </w:t>
      </w:r>
    </w:p>
    <w:p w:rsidR="0029211C" w:rsidRDefault="0029211C" w:rsidP="0029211C">
      <w:pPr>
        <w:pStyle w:val="ListParagraph"/>
        <w:spacing w:after="0" w:line="240" w:lineRule="auto"/>
        <w:ind w:left="1080" w:right="720"/>
        <w:rPr>
          <w:sz w:val="24"/>
        </w:rPr>
      </w:pPr>
    </w:p>
    <w:p w:rsidR="00584362" w:rsidRDefault="00F612E8" w:rsidP="00584362">
      <w:pPr>
        <w:pStyle w:val="Heading3"/>
      </w:pPr>
      <w:bookmarkStart w:id="10" w:name="_Toc410745496"/>
      <w:r>
        <w:t>Forced and Early</w:t>
      </w:r>
      <w:r w:rsidR="00E95405">
        <w:t xml:space="preserve"> M</w:t>
      </w:r>
      <w:r w:rsidR="00584362">
        <w:t>arriage</w:t>
      </w:r>
      <w:bookmarkEnd w:id="10"/>
    </w:p>
    <w:p w:rsidR="00584362" w:rsidRPr="002243D4" w:rsidRDefault="00F612E8" w:rsidP="00BC76F1">
      <w:pPr>
        <w:spacing w:after="0" w:line="360" w:lineRule="auto"/>
        <w:ind w:firstLine="720"/>
        <w:rPr>
          <w:sz w:val="24"/>
          <w:szCs w:val="24"/>
        </w:rPr>
      </w:pPr>
      <w:r w:rsidRPr="002243D4">
        <w:rPr>
          <w:sz w:val="24"/>
          <w:szCs w:val="24"/>
        </w:rPr>
        <w:t>Under the new constitution, anyone under the age of 18 is a child and the legal age for a civil marriage is 18</w:t>
      </w:r>
      <w:r w:rsidR="00093CD7" w:rsidRPr="002243D4">
        <w:rPr>
          <w:sz w:val="24"/>
          <w:szCs w:val="24"/>
        </w:rPr>
        <w:t xml:space="preserve">, but girls who are 16 and 17 can marry with parental approval. The criminal code also prohibits sexual relations with persons younger than age 18. Unfortunately, </w:t>
      </w:r>
      <w:r w:rsidR="00BC76F1" w:rsidRPr="002243D4">
        <w:rPr>
          <w:sz w:val="24"/>
          <w:szCs w:val="24"/>
        </w:rPr>
        <w:t>the new laws</w:t>
      </w:r>
      <w:r w:rsidR="00093CD7" w:rsidRPr="002243D4">
        <w:rPr>
          <w:sz w:val="24"/>
          <w:szCs w:val="24"/>
        </w:rPr>
        <w:t xml:space="preserve"> </w:t>
      </w:r>
      <w:r w:rsidR="00984CCA">
        <w:rPr>
          <w:sz w:val="24"/>
          <w:szCs w:val="24"/>
        </w:rPr>
        <w:t>has had</w:t>
      </w:r>
      <w:bookmarkStart w:id="11" w:name="_GoBack"/>
      <w:bookmarkEnd w:id="11"/>
      <w:r w:rsidR="00093CD7" w:rsidRPr="002243D4">
        <w:rPr>
          <w:sz w:val="24"/>
          <w:szCs w:val="24"/>
        </w:rPr>
        <w:t xml:space="preserve"> little effect because t</w:t>
      </w:r>
      <w:r w:rsidRPr="002243D4">
        <w:rPr>
          <w:sz w:val="24"/>
          <w:szCs w:val="24"/>
        </w:rPr>
        <w:t xml:space="preserve">he Customary Marriages Act has not been amended to reflect this change </w:t>
      </w:r>
      <w:r w:rsidR="00BC76F1" w:rsidRPr="002243D4">
        <w:rPr>
          <w:sz w:val="24"/>
          <w:szCs w:val="24"/>
        </w:rPr>
        <w:t>and it</w:t>
      </w:r>
      <w:r w:rsidRPr="002243D4">
        <w:rPr>
          <w:sz w:val="24"/>
          <w:szCs w:val="24"/>
        </w:rPr>
        <w:t xml:space="preserve"> still does not have a minimum age requirement for boys or girls.</w:t>
      </w:r>
      <w:r w:rsidR="00BC76F1" w:rsidRPr="002243D4">
        <w:rPr>
          <w:sz w:val="24"/>
          <w:szCs w:val="24"/>
        </w:rPr>
        <w:t xml:space="preserve"> Consequences of underage marriage include </w:t>
      </w:r>
      <w:r w:rsidR="00584362" w:rsidRPr="002243D4">
        <w:rPr>
          <w:sz w:val="24"/>
          <w:szCs w:val="24"/>
        </w:rPr>
        <w:t xml:space="preserve">school drop outs, economic dependence, illiteracy, disempowerment, vulnerability to violence, </w:t>
      </w:r>
      <w:r w:rsidR="00BC76F1" w:rsidRPr="002243D4">
        <w:rPr>
          <w:sz w:val="24"/>
          <w:szCs w:val="24"/>
        </w:rPr>
        <w:t xml:space="preserve">and greater risk to </w:t>
      </w:r>
      <w:r w:rsidR="00584362" w:rsidRPr="002243D4">
        <w:rPr>
          <w:sz w:val="24"/>
          <w:szCs w:val="24"/>
        </w:rPr>
        <w:t>HIV infections</w:t>
      </w:r>
      <w:r w:rsidR="00BC76F1" w:rsidRPr="002243D4">
        <w:rPr>
          <w:sz w:val="24"/>
          <w:szCs w:val="24"/>
        </w:rPr>
        <w:t>.</w:t>
      </w:r>
      <w:r w:rsidR="0065296C" w:rsidRPr="002243D4">
        <w:rPr>
          <w:rStyle w:val="FootnoteReference"/>
          <w:sz w:val="24"/>
          <w:szCs w:val="24"/>
        </w:rPr>
        <w:footnoteReference w:id="22"/>
      </w:r>
    </w:p>
    <w:p w:rsidR="00584362" w:rsidRDefault="00584362" w:rsidP="00584362">
      <w:pPr>
        <w:spacing w:after="0" w:line="360" w:lineRule="auto"/>
        <w:rPr>
          <w:sz w:val="24"/>
        </w:rPr>
      </w:pPr>
    </w:p>
    <w:p w:rsidR="00310B05" w:rsidRDefault="00310B05" w:rsidP="008C3235">
      <w:pPr>
        <w:spacing w:after="0" w:line="360" w:lineRule="auto"/>
        <w:ind w:firstLine="720"/>
        <w:rPr>
          <w:sz w:val="24"/>
        </w:rPr>
      </w:pPr>
    </w:p>
    <w:sectPr w:rsidR="00310B05" w:rsidSect="00521104">
      <w:footerReference w:type="default" r:id="rId8"/>
      <w:headerReference w:type="first" r:id="rId9"/>
      <w:pgSz w:w="12240" w:h="15840"/>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A3E" w:rsidRDefault="00B92A3E" w:rsidP="006A2477">
      <w:pPr>
        <w:spacing w:after="0" w:line="240" w:lineRule="auto"/>
      </w:pPr>
      <w:r>
        <w:separator/>
      </w:r>
    </w:p>
  </w:endnote>
  <w:endnote w:type="continuationSeparator" w:id="0">
    <w:p w:rsidR="00B92A3E" w:rsidRDefault="00B92A3E" w:rsidP="006A24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rPr>
      <w:id w:val="668830044"/>
      <w:docPartObj>
        <w:docPartGallery w:val="Page Numbers (Bottom of Page)"/>
        <w:docPartUnique/>
      </w:docPartObj>
    </w:sdtPr>
    <w:sdtContent>
      <w:sdt>
        <w:sdtPr>
          <w:rPr>
            <w:rFonts w:asciiTheme="majorHAnsi" w:hAnsiTheme="majorHAnsi"/>
          </w:rPr>
          <w:id w:val="-1705238520"/>
          <w:docPartObj>
            <w:docPartGallery w:val="Page Numbers (Top of Page)"/>
            <w:docPartUnique/>
          </w:docPartObj>
        </w:sdtPr>
        <w:sdtContent>
          <w:p w:rsidR="003D16F1" w:rsidRPr="00FD32B6" w:rsidRDefault="003D16F1" w:rsidP="00FD32B6">
            <w:pPr>
              <w:pStyle w:val="Header"/>
              <w:jc w:val="right"/>
              <w:rPr>
                <w:rFonts w:asciiTheme="majorHAnsi" w:hAnsiTheme="majorHAnsi"/>
                <w:sz w:val="18"/>
              </w:rPr>
            </w:pPr>
            <w:r w:rsidRPr="00FD32B6">
              <w:rPr>
                <w:rFonts w:asciiTheme="majorHAnsi" w:hAnsiTheme="majorHAnsi"/>
                <w:sz w:val="20"/>
              </w:rPr>
              <w:t xml:space="preserve">CCR </w:t>
            </w:r>
            <w:r>
              <w:rPr>
                <w:rFonts w:asciiTheme="majorHAnsi" w:hAnsiTheme="majorHAnsi"/>
                <w:sz w:val="20"/>
              </w:rPr>
              <w:t xml:space="preserve">Zimbabwe </w:t>
            </w:r>
            <w:r w:rsidRPr="00FD32B6">
              <w:rPr>
                <w:rFonts w:asciiTheme="majorHAnsi" w:hAnsiTheme="majorHAnsi"/>
                <w:sz w:val="20"/>
              </w:rPr>
              <w:t>Research Project</w:t>
            </w:r>
            <w:r w:rsidRPr="00FD32B6">
              <w:rPr>
                <w:rFonts w:asciiTheme="majorHAnsi" w:hAnsiTheme="majorHAnsi"/>
                <w:sz w:val="20"/>
              </w:rPr>
              <w:tab/>
            </w:r>
            <w:r>
              <w:rPr>
                <w:rFonts w:asciiTheme="majorHAnsi" w:hAnsiTheme="majorHAnsi"/>
                <w:sz w:val="20"/>
              </w:rPr>
              <w:tab/>
            </w:r>
            <w:r w:rsidRPr="00FD32B6">
              <w:rPr>
                <w:rFonts w:asciiTheme="majorHAnsi" w:hAnsiTheme="majorHAnsi"/>
              </w:rPr>
              <w:t xml:space="preserve">Page </w:t>
            </w:r>
            <w:r w:rsidR="00F00DDE" w:rsidRPr="00FD32B6">
              <w:rPr>
                <w:rFonts w:asciiTheme="majorHAnsi" w:hAnsiTheme="majorHAnsi"/>
                <w:b/>
                <w:bCs/>
                <w:sz w:val="24"/>
                <w:szCs w:val="24"/>
              </w:rPr>
              <w:fldChar w:fldCharType="begin"/>
            </w:r>
            <w:r w:rsidRPr="00FD32B6">
              <w:rPr>
                <w:rFonts w:asciiTheme="majorHAnsi" w:hAnsiTheme="majorHAnsi"/>
                <w:b/>
                <w:bCs/>
              </w:rPr>
              <w:instrText xml:space="preserve"> PAGE </w:instrText>
            </w:r>
            <w:r w:rsidR="00F00DDE" w:rsidRPr="00FD32B6">
              <w:rPr>
                <w:rFonts w:asciiTheme="majorHAnsi" w:hAnsiTheme="majorHAnsi"/>
                <w:b/>
                <w:bCs/>
                <w:sz w:val="24"/>
                <w:szCs w:val="24"/>
              </w:rPr>
              <w:fldChar w:fldCharType="separate"/>
            </w:r>
            <w:r w:rsidR="00521104">
              <w:rPr>
                <w:rFonts w:asciiTheme="majorHAnsi" w:hAnsiTheme="majorHAnsi"/>
                <w:b/>
                <w:bCs/>
                <w:noProof/>
              </w:rPr>
              <w:t>7</w:t>
            </w:r>
            <w:r w:rsidR="00F00DDE" w:rsidRPr="00FD32B6">
              <w:rPr>
                <w:rFonts w:asciiTheme="majorHAnsi" w:hAnsiTheme="majorHAnsi"/>
                <w:b/>
                <w:bCs/>
                <w:sz w:val="24"/>
                <w:szCs w:val="24"/>
              </w:rPr>
              <w:fldChar w:fldCharType="end"/>
            </w:r>
            <w:r w:rsidRPr="00FD32B6">
              <w:rPr>
                <w:rFonts w:asciiTheme="majorHAnsi" w:hAnsiTheme="majorHAnsi"/>
              </w:rPr>
              <w:t xml:space="preserve"> of </w:t>
            </w:r>
            <w:r w:rsidR="00F00DDE" w:rsidRPr="00FD32B6">
              <w:rPr>
                <w:rFonts w:asciiTheme="majorHAnsi" w:hAnsiTheme="majorHAnsi"/>
                <w:b/>
                <w:bCs/>
                <w:sz w:val="24"/>
                <w:szCs w:val="24"/>
              </w:rPr>
              <w:fldChar w:fldCharType="begin"/>
            </w:r>
            <w:r w:rsidRPr="00FD32B6">
              <w:rPr>
                <w:rFonts w:asciiTheme="majorHAnsi" w:hAnsiTheme="majorHAnsi"/>
                <w:b/>
                <w:bCs/>
              </w:rPr>
              <w:instrText xml:space="preserve"> NUMPAGES  </w:instrText>
            </w:r>
            <w:r w:rsidR="00F00DDE" w:rsidRPr="00FD32B6">
              <w:rPr>
                <w:rFonts w:asciiTheme="majorHAnsi" w:hAnsiTheme="majorHAnsi"/>
                <w:b/>
                <w:bCs/>
                <w:sz w:val="24"/>
                <w:szCs w:val="24"/>
              </w:rPr>
              <w:fldChar w:fldCharType="separate"/>
            </w:r>
            <w:r w:rsidR="00521104">
              <w:rPr>
                <w:rFonts w:asciiTheme="majorHAnsi" w:hAnsiTheme="majorHAnsi"/>
                <w:b/>
                <w:bCs/>
                <w:noProof/>
              </w:rPr>
              <w:t>7</w:t>
            </w:r>
            <w:r w:rsidR="00F00DDE" w:rsidRPr="00FD32B6">
              <w:rPr>
                <w:rFonts w:asciiTheme="majorHAnsi" w:hAnsiTheme="majorHAnsi"/>
                <w:b/>
                <w:bCs/>
                <w:sz w:val="24"/>
                <w:szCs w:val="24"/>
              </w:rPr>
              <w:fldChar w:fldCharType="end"/>
            </w:r>
          </w:p>
        </w:sdtContent>
      </w:sdt>
    </w:sdtContent>
  </w:sdt>
  <w:p w:rsidR="003D16F1" w:rsidRDefault="003D16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A3E" w:rsidRDefault="00B92A3E" w:rsidP="006A2477">
      <w:pPr>
        <w:spacing w:after="0" w:line="240" w:lineRule="auto"/>
      </w:pPr>
      <w:r>
        <w:separator/>
      </w:r>
    </w:p>
  </w:footnote>
  <w:footnote w:type="continuationSeparator" w:id="0">
    <w:p w:rsidR="00B92A3E" w:rsidRDefault="00B92A3E" w:rsidP="006A2477">
      <w:pPr>
        <w:spacing w:after="0" w:line="240" w:lineRule="auto"/>
      </w:pPr>
      <w:r>
        <w:continuationSeparator/>
      </w:r>
    </w:p>
  </w:footnote>
  <w:footnote w:id="1">
    <w:p w:rsidR="003D16F1" w:rsidRPr="00B45257" w:rsidRDefault="003D16F1">
      <w:pPr>
        <w:pStyle w:val="FootnoteText"/>
        <w:rPr>
          <w:lang w:val="en-US"/>
        </w:rPr>
      </w:pPr>
      <w:r>
        <w:rPr>
          <w:rStyle w:val="FootnoteReference"/>
        </w:rPr>
        <w:footnoteRef/>
      </w:r>
      <w:r>
        <w:t xml:space="preserve"> U.S. Department of State, “Country Reports on Human Rights Practices for 2013: Zimbabwe,” &lt;</w:t>
      </w:r>
      <w:r w:rsidRPr="003D16F1">
        <w:t>http://www.state.gov/j/drl/rls/hrrpt/humanrightsreport/index.htm?year=2013&amp;dlid=220176</w:t>
      </w:r>
      <w:r>
        <w:t>&gt;.</w:t>
      </w:r>
    </w:p>
  </w:footnote>
  <w:footnote w:id="2">
    <w:p w:rsidR="003D16F1" w:rsidRPr="00BB2B7D" w:rsidRDefault="003D16F1">
      <w:pPr>
        <w:pStyle w:val="FootnoteText"/>
        <w:rPr>
          <w:lang w:val="en-US"/>
        </w:rPr>
      </w:pPr>
      <w:r>
        <w:rPr>
          <w:rStyle w:val="FootnoteReference"/>
        </w:rPr>
        <w:footnoteRef/>
      </w:r>
      <w:r>
        <w:t xml:space="preserve"> </w:t>
      </w:r>
      <w:r w:rsidRPr="00BB2B7D">
        <w:t xml:space="preserve">Freedom House, Freedom in the World 2014 - Zimbabwe, 22 August 2014, available at: http://www.refworld.org/docid/53fc35fd5.html [accessed </w:t>
      </w:r>
      <w:r>
        <w:t>29 January 2015</w:t>
      </w:r>
      <w:r w:rsidRPr="00BB2B7D">
        <w:t>]</w:t>
      </w:r>
      <w:r>
        <w:t>.</w:t>
      </w:r>
    </w:p>
  </w:footnote>
  <w:footnote w:id="3">
    <w:p w:rsidR="003D16F1" w:rsidRPr="003174A4" w:rsidRDefault="003D16F1">
      <w:pPr>
        <w:pStyle w:val="FootnoteText"/>
        <w:rPr>
          <w:lang w:val="en-US"/>
        </w:rPr>
      </w:pPr>
      <w:r>
        <w:rPr>
          <w:rStyle w:val="FootnoteReference"/>
        </w:rPr>
        <w:footnoteRef/>
      </w:r>
      <w:r>
        <w:t xml:space="preserve"> Amnesty International, “Annual Report 2013: Zimbabwe,” accessed January 29, 2015. &lt;</w:t>
      </w:r>
      <w:r w:rsidRPr="003174A4">
        <w:t>http://www.amnesty.org/en/region/zimbabwe/report-2013</w:t>
      </w:r>
      <w:r>
        <w:t>&gt;.</w:t>
      </w:r>
    </w:p>
  </w:footnote>
  <w:footnote w:id="4">
    <w:p w:rsidR="003D16F1" w:rsidRPr="00C5049D" w:rsidRDefault="003D16F1">
      <w:pPr>
        <w:pStyle w:val="FootnoteText"/>
        <w:rPr>
          <w:lang w:val="en-US"/>
        </w:rPr>
      </w:pPr>
      <w:r>
        <w:rPr>
          <w:rStyle w:val="FootnoteReference"/>
        </w:rPr>
        <w:footnoteRef/>
      </w:r>
      <w:r>
        <w:t xml:space="preserve"> </w:t>
      </w:r>
      <w:r w:rsidR="0065296C" w:rsidRPr="0065296C">
        <w:t xml:space="preserve">Asylum Research Consultancy (ARC), Zimbabwe Country Report, 15 January 2015, available at: http://www.refworld.org/docid/54b691994.html [accessed </w:t>
      </w:r>
      <w:r w:rsidR="0065296C">
        <w:t>24 January</w:t>
      </w:r>
      <w:r w:rsidR="0065296C" w:rsidRPr="0065296C">
        <w:t xml:space="preserve"> 2015]</w:t>
      </w:r>
      <w:r w:rsidR="006D5C36">
        <w:t xml:space="preserve"> at page 170. </w:t>
      </w:r>
    </w:p>
  </w:footnote>
  <w:footnote w:id="5">
    <w:p w:rsidR="003D16F1" w:rsidRPr="00B45257" w:rsidRDefault="003D16F1">
      <w:pPr>
        <w:pStyle w:val="FootnoteText"/>
        <w:rPr>
          <w:lang w:val="en-US"/>
        </w:rPr>
      </w:pPr>
      <w:r>
        <w:rPr>
          <w:rStyle w:val="FootnoteReference"/>
        </w:rPr>
        <w:footnoteRef/>
      </w:r>
      <w:r>
        <w:t xml:space="preserve"> U.S. Department of State, </w:t>
      </w:r>
      <w:r>
        <w:rPr>
          <w:i/>
        </w:rPr>
        <w:t xml:space="preserve">supra </w:t>
      </w:r>
      <w:r w:rsidR="006D5C36">
        <w:t>Note 1</w:t>
      </w:r>
      <w:r>
        <w:t>.</w:t>
      </w:r>
    </w:p>
  </w:footnote>
  <w:footnote w:id="6">
    <w:p w:rsidR="003D16F1" w:rsidRPr="00564FF5" w:rsidRDefault="003D16F1">
      <w:pPr>
        <w:pStyle w:val="FootnoteText"/>
        <w:rPr>
          <w:lang w:val="en-US"/>
        </w:rPr>
      </w:pPr>
      <w:r>
        <w:rPr>
          <w:rStyle w:val="FootnoteReference"/>
        </w:rPr>
        <w:footnoteRef/>
      </w:r>
      <w:r>
        <w:t xml:space="preserve"> U.S. Department of State, </w:t>
      </w:r>
      <w:r>
        <w:rPr>
          <w:i/>
        </w:rPr>
        <w:t xml:space="preserve">supra </w:t>
      </w:r>
      <w:r w:rsidR="006D5C36">
        <w:t>Note 1</w:t>
      </w:r>
      <w:r>
        <w:t>.</w:t>
      </w:r>
    </w:p>
  </w:footnote>
  <w:footnote w:id="7">
    <w:p w:rsidR="003D16F1" w:rsidRPr="00A650E2" w:rsidRDefault="003D16F1">
      <w:pPr>
        <w:pStyle w:val="FootnoteText"/>
        <w:rPr>
          <w:lang w:val="en-US"/>
        </w:rPr>
      </w:pPr>
      <w:r>
        <w:rPr>
          <w:rStyle w:val="FootnoteReference"/>
        </w:rPr>
        <w:footnoteRef/>
      </w:r>
      <w:r>
        <w:t xml:space="preserve"> </w:t>
      </w:r>
      <w:r w:rsidR="007B71A4" w:rsidRPr="007B71A4">
        <w:rPr>
          <w:rFonts w:ascii="Calibri" w:eastAsia="Times New Roman" w:hAnsi="Calibri" w:cs="Times New Roman"/>
          <w:sz w:val="22"/>
          <w:szCs w:val="22"/>
        </w:rPr>
        <w:t>Government of Canada, “Travel Advisories: Zimbabwe,” accessed January 27, 2015, &lt;http://travel.gc.ca/destinations/zimbabwe&gt;.</w:t>
      </w:r>
    </w:p>
  </w:footnote>
  <w:footnote w:id="8">
    <w:p w:rsidR="003D16F1" w:rsidRPr="0065296C" w:rsidRDefault="003D16F1">
      <w:pPr>
        <w:pStyle w:val="FootnoteText"/>
        <w:rPr>
          <w:lang w:val="en-US"/>
        </w:rPr>
      </w:pPr>
      <w:r>
        <w:rPr>
          <w:rStyle w:val="FootnoteReference"/>
        </w:rPr>
        <w:footnoteRef/>
      </w:r>
      <w:r>
        <w:t xml:space="preserve"> </w:t>
      </w:r>
      <w:r w:rsidR="007B71A4" w:rsidRPr="007B71A4">
        <w:rPr>
          <w:rFonts w:ascii="Calibri" w:eastAsia="Times New Roman" w:hAnsi="Calibri" w:cs="Times New Roman"/>
          <w:sz w:val="22"/>
          <w:szCs w:val="22"/>
        </w:rPr>
        <w:t>Human Rights Watch, “World Report 2014: Zimbabwe,” accessed January 29, 2015, &lt;http://www.hrw.org/world-report/2014/country-chapters/zimbabwe&gt;.</w:t>
      </w:r>
    </w:p>
  </w:footnote>
  <w:footnote w:id="9">
    <w:p w:rsidR="003D16F1" w:rsidRPr="009C40BA" w:rsidRDefault="003D16F1">
      <w:pPr>
        <w:pStyle w:val="FootnoteText"/>
        <w:rPr>
          <w:lang w:val="en-US"/>
        </w:rPr>
      </w:pPr>
      <w:r>
        <w:rPr>
          <w:rStyle w:val="FootnoteReference"/>
        </w:rPr>
        <w:footnoteRef/>
      </w:r>
      <w:r>
        <w:t xml:space="preserve"> U.S. Department of State, </w:t>
      </w:r>
      <w:r>
        <w:rPr>
          <w:i/>
        </w:rPr>
        <w:t xml:space="preserve">supra </w:t>
      </w:r>
      <w:r w:rsidR="007B71A4">
        <w:t>Note 1</w:t>
      </w:r>
      <w:r>
        <w:t>.</w:t>
      </w:r>
    </w:p>
  </w:footnote>
  <w:footnote w:id="10">
    <w:p w:rsidR="003D16F1" w:rsidRPr="009C40BA" w:rsidRDefault="003D16F1">
      <w:pPr>
        <w:pStyle w:val="FootnoteText"/>
        <w:rPr>
          <w:lang w:val="en-US"/>
        </w:rPr>
      </w:pPr>
      <w:r>
        <w:rPr>
          <w:rStyle w:val="FootnoteReference"/>
        </w:rPr>
        <w:footnoteRef/>
      </w:r>
      <w:r>
        <w:t xml:space="preserve"> U.S. Department of State, </w:t>
      </w:r>
      <w:r>
        <w:rPr>
          <w:i/>
        </w:rPr>
        <w:t xml:space="preserve">supra </w:t>
      </w:r>
      <w:r w:rsidR="007B71A4">
        <w:t>Note 1</w:t>
      </w:r>
      <w:r>
        <w:t>.</w:t>
      </w:r>
    </w:p>
  </w:footnote>
  <w:footnote w:id="11">
    <w:p w:rsidR="003D16F1" w:rsidRPr="0065296C" w:rsidRDefault="003D16F1">
      <w:pPr>
        <w:pStyle w:val="FootnoteText"/>
        <w:rPr>
          <w:lang w:val="en-US"/>
        </w:rPr>
      </w:pPr>
      <w:r>
        <w:rPr>
          <w:rStyle w:val="FootnoteReference"/>
        </w:rPr>
        <w:footnoteRef/>
      </w:r>
      <w:r>
        <w:t xml:space="preserve"> </w:t>
      </w:r>
      <w:r w:rsidR="0065296C">
        <w:rPr>
          <w:lang w:val="en-US"/>
        </w:rPr>
        <w:t xml:space="preserve">ARC, </w:t>
      </w:r>
      <w:r w:rsidR="0065296C">
        <w:rPr>
          <w:i/>
          <w:lang w:val="en-US"/>
        </w:rPr>
        <w:t>supra</w:t>
      </w:r>
      <w:r w:rsidR="007B71A4">
        <w:rPr>
          <w:lang w:val="en-US"/>
        </w:rPr>
        <w:t xml:space="preserve"> Note 4</w:t>
      </w:r>
      <w:r w:rsidR="0065296C">
        <w:rPr>
          <w:lang w:val="en-US"/>
        </w:rPr>
        <w:t>.</w:t>
      </w:r>
    </w:p>
  </w:footnote>
  <w:footnote w:id="12">
    <w:p w:rsidR="003D16F1" w:rsidRPr="0021206E" w:rsidRDefault="003D16F1">
      <w:pPr>
        <w:pStyle w:val="FootnoteText"/>
        <w:rPr>
          <w:i/>
          <w:lang w:val="en-US"/>
        </w:rPr>
      </w:pPr>
      <w:r>
        <w:rPr>
          <w:rStyle w:val="FootnoteReference"/>
        </w:rPr>
        <w:footnoteRef/>
      </w:r>
      <w:r>
        <w:t xml:space="preserve"> </w:t>
      </w:r>
      <w:r w:rsidRPr="00D03EFE">
        <w:t>Constitution of Zimbabwe A</w:t>
      </w:r>
      <w:r w:rsidR="0065296C">
        <w:t xml:space="preserve">mendment (No. 20) Act, 2013 </w:t>
      </w:r>
      <w:r w:rsidRPr="00D03EFE">
        <w:t>[Zimbabwe],</w:t>
      </w:r>
      <w:r>
        <w:t xml:space="preserve"> </w:t>
      </w:r>
      <w:r>
        <w:rPr>
          <w:i/>
        </w:rPr>
        <w:t>Chapter 4, Part 2 (4)</w:t>
      </w:r>
      <w:r w:rsidR="006D0722">
        <w:rPr>
          <w:i/>
        </w:rPr>
        <w:t>,</w:t>
      </w:r>
      <w:r w:rsidR="006D0722" w:rsidRPr="00D03EFE">
        <w:t xml:space="preserve"> 22</w:t>
      </w:r>
      <w:r w:rsidRPr="00D03EFE">
        <w:t xml:space="preserve"> May 2013, available at: http://www.refworld.org/docid/51ed090f4.html [accessed </w:t>
      </w:r>
      <w:r>
        <w:t>29 January 2015</w:t>
      </w:r>
      <w:r w:rsidRPr="00D03EFE">
        <w:t>]</w:t>
      </w:r>
      <w:r>
        <w:t xml:space="preserve">. </w:t>
      </w:r>
    </w:p>
  </w:footnote>
  <w:footnote w:id="13">
    <w:p w:rsidR="003D16F1" w:rsidRPr="00310B05" w:rsidRDefault="003D16F1">
      <w:pPr>
        <w:pStyle w:val="FootnoteText"/>
        <w:rPr>
          <w:lang w:val="en-US"/>
        </w:rPr>
      </w:pPr>
      <w:r>
        <w:rPr>
          <w:rStyle w:val="FootnoteReference"/>
        </w:rPr>
        <w:footnoteRef/>
      </w:r>
      <w:r>
        <w:t xml:space="preserve"> U.S. Department of State, </w:t>
      </w:r>
      <w:r>
        <w:rPr>
          <w:i/>
        </w:rPr>
        <w:t xml:space="preserve">supra </w:t>
      </w:r>
      <w:r w:rsidR="007B71A4">
        <w:t>Note 1</w:t>
      </w:r>
      <w:r>
        <w:t>.</w:t>
      </w:r>
    </w:p>
  </w:footnote>
  <w:footnote w:id="14">
    <w:p w:rsidR="003D16F1" w:rsidRPr="00CC465D" w:rsidRDefault="003D16F1">
      <w:pPr>
        <w:pStyle w:val="FootnoteText"/>
        <w:rPr>
          <w:lang w:val="en-US"/>
        </w:rPr>
      </w:pPr>
      <w:r>
        <w:rPr>
          <w:rStyle w:val="FootnoteReference"/>
        </w:rPr>
        <w:footnoteRef/>
      </w:r>
      <w:r>
        <w:t xml:space="preserve"> </w:t>
      </w:r>
      <w:r w:rsidR="0065296C">
        <w:t xml:space="preserve">U.S. Department of State, </w:t>
      </w:r>
      <w:r w:rsidR="0065296C">
        <w:rPr>
          <w:i/>
        </w:rPr>
        <w:t xml:space="preserve">supra </w:t>
      </w:r>
      <w:r w:rsidR="007B71A4">
        <w:t>Note 1</w:t>
      </w:r>
      <w:r w:rsidR="0065296C">
        <w:t>.</w:t>
      </w:r>
    </w:p>
  </w:footnote>
  <w:footnote w:id="15">
    <w:p w:rsidR="003D16F1" w:rsidRPr="00CC465D" w:rsidRDefault="003D16F1">
      <w:pPr>
        <w:pStyle w:val="FootnoteText"/>
        <w:rPr>
          <w:lang w:val="en-US"/>
        </w:rPr>
      </w:pPr>
      <w:r>
        <w:rPr>
          <w:rStyle w:val="FootnoteReference"/>
        </w:rPr>
        <w:footnoteRef/>
      </w:r>
      <w:r>
        <w:t xml:space="preserve"> </w:t>
      </w:r>
      <w:r w:rsidR="0065296C">
        <w:t xml:space="preserve">U.S. Department of State, </w:t>
      </w:r>
      <w:r w:rsidR="0065296C">
        <w:rPr>
          <w:i/>
        </w:rPr>
        <w:t xml:space="preserve">supra </w:t>
      </w:r>
      <w:r w:rsidR="007B71A4">
        <w:t>Note 1</w:t>
      </w:r>
      <w:r w:rsidR="0065296C">
        <w:t>.</w:t>
      </w:r>
    </w:p>
  </w:footnote>
  <w:footnote w:id="16">
    <w:p w:rsidR="003D16F1" w:rsidRPr="00283AFE" w:rsidRDefault="003D16F1">
      <w:pPr>
        <w:pStyle w:val="FootnoteText"/>
        <w:rPr>
          <w:lang w:val="en-US"/>
        </w:rPr>
      </w:pPr>
      <w:r>
        <w:rPr>
          <w:rStyle w:val="FootnoteReference"/>
        </w:rPr>
        <w:footnoteRef/>
      </w:r>
      <w:r w:rsidR="0065296C">
        <w:t xml:space="preserve"> Amnesty International, “</w:t>
      </w:r>
      <w:r>
        <w:t>Zimbabwe: Human rights agenda for the government, 2013-18</w:t>
      </w:r>
      <w:r w:rsidR="0065296C">
        <w:t>,”</w:t>
      </w:r>
      <w:r>
        <w:t xml:space="preserve"> </w:t>
      </w:r>
      <w:r w:rsidR="0065296C">
        <w:t>&lt;</w:t>
      </w:r>
      <w:r w:rsidRPr="00A470E8">
        <w:t>http://www.amnesty.org/en/region/zimbabwe/report-2013</w:t>
      </w:r>
      <w:r w:rsidR="0065296C">
        <w:t>&gt;.</w:t>
      </w:r>
    </w:p>
  </w:footnote>
  <w:footnote w:id="17">
    <w:p w:rsidR="003D16F1" w:rsidRPr="00B72B8B" w:rsidRDefault="003D16F1">
      <w:pPr>
        <w:pStyle w:val="FootnoteText"/>
        <w:rPr>
          <w:lang w:val="en-US"/>
        </w:rPr>
      </w:pPr>
      <w:r>
        <w:rPr>
          <w:rStyle w:val="FootnoteReference"/>
        </w:rPr>
        <w:footnoteRef/>
      </w:r>
      <w:r>
        <w:t xml:space="preserve"> </w:t>
      </w:r>
      <w:r w:rsidRPr="00BB2B7D">
        <w:t xml:space="preserve">Freedom House, Freedom in the World 2014 - Zimbabwe, 22 August 2014, available at: http://www.refworld.org/docid/53fc35fd5.html [accessed </w:t>
      </w:r>
      <w:r>
        <w:t>29 January 2015</w:t>
      </w:r>
      <w:r w:rsidRPr="00BB2B7D">
        <w:t>]</w:t>
      </w:r>
      <w:r>
        <w:t>.</w:t>
      </w:r>
    </w:p>
  </w:footnote>
  <w:footnote w:id="18">
    <w:p w:rsidR="003D16F1" w:rsidRPr="00B72B8B" w:rsidRDefault="003D16F1">
      <w:pPr>
        <w:pStyle w:val="FootnoteText"/>
        <w:rPr>
          <w:lang w:val="en-US"/>
        </w:rPr>
      </w:pPr>
      <w:r>
        <w:rPr>
          <w:rStyle w:val="FootnoteReference"/>
        </w:rPr>
        <w:footnoteRef/>
      </w:r>
      <w:r>
        <w:t xml:space="preserve"> </w:t>
      </w:r>
      <w:r w:rsidRPr="00BB2B7D">
        <w:t xml:space="preserve">Freedom House, Freedom in the World 2014 - Zimbabwe, 22 August 2014, available at: http://www.refworld.org/docid/53fc35fd5.html [accessed </w:t>
      </w:r>
      <w:r>
        <w:t>29 January 2015</w:t>
      </w:r>
      <w:r w:rsidRPr="00BB2B7D">
        <w:t>]</w:t>
      </w:r>
      <w:r>
        <w:t>.</w:t>
      </w:r>
    </w:p>
  </w:footnote>
  <w:footnote w:id="19">
    <w:p w:rsidR="003D16F1" w:rsidRDefault="003D16F1" w:rsidP="00C461F3">
      <w:pPr>
        <w:pStyle w:val="FootnoteText"/>
      </w:pPr>
      <w:r>
        <w:rPr>
          <w:rStyle w:val="FootnoteReference"/>
        </w:rPr>
        <w:footnoteRef/>
      </w:r>
      <w:r>
        <w:t xml:space="preserve"> Amnesty International, </w:t>
      </w:r>
      <w:r w:rsidR="0065296C">
        <w:t>“</w:t>
      </w:r>
      <w:r>
        <w:t xml:space="preserve">No Chance to Live, Newborn Deaths at Hopley Settlement, Zimbabwe, Index: </w:t>
      </w:r>
    </w:p>
    <w:p w:rsidR="003D16F1" w:rsidRPr="00283AFE" w:rsidRDefault="003D16F1" w:rsidP="00C461F3">
      <w:pPr>
        <w:pStyle w:val="FootnoteText"/>
        <w:rPr>
          <w:lang w:val="en-US"/>
        </w:rPr>
      </w:pPr>
      <w:r>
        <w:t>AFR 46/018/2010,</w:t>
      </w:r>
      <w:r w:rsidR="0065296C">
        <w:t>”</w:t>
      </w:r>
      <w:r>
        <w:t xml:space="preserve"> December 2010, &lt;</w:t>
      </w:r>
      <w:r w:rsidRPr="00C461F3">
        <w:t>http://www.amnestyusa.org/sites/default/files/nochancetolivereport.pdf</w:t>
      </w:r>
      <w:r>
        <w:t>&gt;.</w:t>
      </w:r>
    </w:p>
  </w:footnote>
  <w:footnote w:id="20">
    <w:p w:rsidR="003D16F1" w:rsidRPr="006C5E94" w:rsidRDefault="003D16F1">
      <w:pPr>
        <w:pStyle w:val="FootnoteText"/>
        <w:rPr>
          <w:lang w:val="en-US"/>
        </w:rPr>
      </w:pPr>
      <w:r>
        <w:rPr>
          <w:rStyle w:val="FootnoteReference"/>
        </w:rPr>
        <w:footnoteRef/>
      </w:r>
      <w:r>
        <w:t xml:space="preserve"> </w:t>
      </w:r>
      <w:r w:rsidR="0065296C">
        <w:t>UNICEF, “Annual Report 2014: Zimbabwe,” accessed January 30, 2015,</w:t>
      </w:r>
      <w:r>
        <w:t xml:space="preserve"> </w:t>
      </w:r>
      <w:r w:rsidR="0065296C">
        <w:t>&lt;</w:t>
      </w:r>
      <w:r w:rsidRPr="006C5E94">
        <w:t>http://www.unicef.org/zimbabwe/Annual_Report_Webpages_layout_2014.pdf</w:t>
      </w:r>
      <w:r w:rsidR="0065296C">
        <w:t>&gt;.</w:t>
      </w:r>
    </w:p>
  </w:footnote>
  <w:footnote w:id="21">
    <w:p w:rsidR="003D16F1" w:rsidRPr="0029211C" w:rsidRDefault="003D16F1">
      <w:pPr>
        <w:pStyle w:val="FootnoteText"/>
        <w:rPr>
          <w:lang w:val="en-US"/>
        </w:rPr>
      </w:pPr>
      <w:r>
        <w:rPr>
          <w:rStyle w:val="FootnoteReference"/>
        </w:rPr>
        <w:footnoteRef/>
      </w:r>
      <w:r>
        <w:t xml:space="preserve"> </w:t>
      </w:r>
      <w:r w:rsidR="0065296C">
        <w:t xml:space="preserve">U.S. Department of State, </w:t>
      </w:r>
      <w:r w:rsidR="0065296C">
        <w:rPr>
          <w:i/>
        </w:rPr>
        <w:t xml:space="preserve">supra </w:t>
      </w:r>
      <w:r w:rsidR="0065296C">
        <w:t>Note 10.</w:t>
      </w:r>
    </w:p>
  </w:footnote>
  <w:footnote w:id="22">
    <w:p w:rsidR="0065296C" w:rsidRPr="0065296C" w:rsidRDefault="0065296C">
      <w:pPr>
        <w:pStyle w:val="FootnoteText"/>
        <w:rPr>
          <w:lang w:val="en-US"/>
        </w:rPr>
      </w:pPr>
      <w:r>
        <w:rPr>
          <w:rStyle w:val="FootnoteReference"/>
        </w:rPr>
        <w:footnoteRef/>
      </w:r>
      <w:r>
        <w:t xml:space="preserve"> U.S. Department of State, </w:t>
      </w:r>
      <w:r>
        <w:rPr>
          <w:i/>
        </w:rPr>
        <w:t xml:space="preserve">supra </w:t>
      </w:r>
      <w:r>
        <w:t>Note 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104" w:rsidRDefault="00521104">
    <w:pPr>
      <w:pStyle w:val="Header"/>
    </w:pPr>
    <w:r>
      <w:t>CCR Zimbabwe Research, February 2015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0E3EEF"/>
    <w:multiLevelType w:val="hybridMultilevel"/>
    <w:tmpl w:val="1E9EF71E"/>
    <w:lvl w:ilvl="0" w:tplc="F7587B7A">
      <w:start w:val="1"/>
      <w:numFmt w:val="lowerRoman"/>
      <w:lvlText w:val="%1."/>
      <w:lvlJc w:val="left"/>
      <w:pPr>
        <w:ind w:left="1440" w:hanging="720"/>
      </w:pPr>
      <w:rPr>
        <w:rFonts w:hint="default"/>
        <w:sz w:val="22"/>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nsid w:val="458C5093"/>
    <w:multiLevelType w:val="hybridMultilevel"/>
    <w:tmpl w:val="1B201CD8"/>
    <w:lvl w:ilvl="0" w:tplc="7474F03E">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48AF2656"/>
    <w:multiLevelType w:val="hybridMultilevel"/>
    <w:tmpl w:val="CF3EFCE8"/>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nsid w:val="54051D07"/>
    <w:multiLevelType w:val="hybridMultilevel"/>
    <w:tmpl w:val="675CA79A"/>
    <w:lvl w:ilvl="0" w:tplc="8326AC24">
      <w:start w:val="2"/>
      <w:numFmt w:val="bullet"/>
      <w:lvlText w:val=""/>
      <w:lvlJc w:val="left"/>
      <w:pPr>
        <w:ind w:left="1080" w:hanging="360"/>
      </w:pPr>
      <w:rPr>
        <w:rFonts w:ascii="Symbol" w:eastAsiaTheme="minorHAnsi" w:hAnsi="Symbol"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nsid w:val="57EB0854"/>
    <w:multiLevelType w:val="hybridMultilevel"/>
    <w:tmpl w:val="4628F194"/>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nsid w:val="742326FC"/>
    <w:multiLevelType w:val="hybridMultilevel"/>
    <w:tmpl w:val="71B0C64A"/>
    <w:lvl w:ilvl="0" w:tplc="76E46D8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hyphenationZone w:val="425"/>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seFELayout/>
  </w:compat>
  <w:rsids>
    <w:rsidRoot w:val="00034DAF"/>
    <w:rsid w:val="00001B6E"/>
    <w:rsid w:val="00003F05"/>
    <w:rsid w:val="00015607"/>
    <w:rsid w:val="00034DAF"/>
    <w:rsid w:val="00086E38"/>
    <w:rsid w:val="00093CD7"/>
    <w:rsid w:val="000A34E0"/>
    <w:rsid w:val="0014143F"/>
    <w:rsid w:val="00154138"/>
    <w:rsid w:val="001C3DE2"/>
    <w:rsid w:val="0021206E"/>
    <w:rsid w:val="002243D4"/>
    <w:rsid w:val="00243C25"/>
    <w:rsid w:val="00252E72"/>
    <w:rsid w:val="00283AFE"/>
    <w:rsid w:val="0029211C"/>
    <w:rsid w:val="002A73B0"/>
    <w:rsid w:val="002E2223"/>
    <w:rsid w:val="002E758A"/>
    <w:rsid w:val="00310B05"/>
    <w:rsid w:val="003174A4"/>
    <w:rsid w:val="003319C4"/>
    <w:rsid w:val="00365F9D"/>
    <w:rsid w:val="0039264F"/>
    <w:rsid w:val="003D16F1"/>
    <w:rsid w:val="003E397D"/>
    <w:rsid w:val="004531B6"/>
    <w:rsid w:val="004A61FB"/>
    <w:rsid w:val="004D73C8"/>
    <w:rsid w:val="004E5057"/>
    <w:rsid w:val="00504CB1"/>
    <w:rsid w:val="00521104"/>
    <w:rsid w:val="0056135C"/>
    <w:rsid w:val="00564FF5"/>
    <w:rsid w:val="00584362"/>
    <w:rsid w:val="005D36F5"/>
    <w:rsid w:val="00616AF3"/>
    <w:rsid w:val="0065296C"/>
    <w:rsid w:val="0067667B"/>
    <w:rsid w:val="006A2477"/>
    <w:rsid w:val="006A3944"/>
    <w:rsid w:val="006C272F"/>
    <w:rsid w:val="006C4B20"/>
    <w:rsid w:val="006C5E94"/>
    <w:rsid w:val="006D0722"/>
    <w:rsid w:val="006D5C36"/>
    <w:rsid w:val="006F712C"/>
    <w:rsid w:val="00704241"/>
    <w:rsid w:val="00797ADD"/>
    <w:rsid w:val="007B71A4"/>
    <w:rsid w:val="00832822"/>
    <w:rsid w:val="00852704"/>
    <w:rsid w:val="00877ACF"/>
    <w:rsid w:val="008C3235"/>
    <w:rsid w:val="008E6962"/>
    <w:rsid w:val="009435AB"/>
    <w:rsid w:val="00984CCA"/>
    <w:rsid w:val="009922EA"/>
    <w:rsid w:val="009C40BA"/>
    <w:rsid w:val="00A470E8"/>
    <w:rsid w:val="00A54C94"/>
    <w:rsid w:val="00A57141"/>
    <w:rsid w:val="00A650E2"/>
    <w:rsid w:val="00A96148"/>
    <w:rsid w:val="00AD5E89"/>
    <w:rsid w:val="00AD5F45"/>
    <w:rsid w:val="00AF025E"/>
    <w:rsid w:val="00AF064E"/>
    <w:rsid w:val="00B339E4"/>
    <w:rsid w:val="00B45257"/>
    <w:rsid w:val="00B52818"/>
    <w:rsid w:val="00B72B8B"/>
    <w:rsid w:val="00B92A3E"/>
    <w:rsid w:val="00BA382D"/>
    <w:rsid w:val="00BB2B7D"/>
    <w:rsid w:val="00BB4A13"/>
    <w:rsid w:val="00BC6EED"/>
    <w:rsid w:val="00BC76F1"/>
    <w:rsid w:val="00C461F3"/>
    <w:rsid w:val="00C47795"/>
    <w:rsid w:val="00C5049D"/>
    <w:rsid w:val="00CC465D"/>
    <w:rsid w:val="00D03EFE"/>
    <w:rsid w:val="00D11CB7"/>
    <w:rsid w:val="00D74F6B"/>
    <w:rsid w:val="00DA30B0"/>
    <w:rsid w:val="00DE2A9E"/>
    <w:rsid w:val="00DF3840"/>
    <w:rsid w:val="00E72E9A"/>
    <w:rsid w:val="00E95405"/>
    <w:rsid w:val="00EB148E"/>
    <w:rsid w:val="00EC11AE"/>
    <w:rsid w:val="00EF4286"/>
    <w:rsid w:val="00F00DDE"/>
    <w:rsid w:val="00F17228"/>
    <w:rsid w:val="00F533E5"/>
    <w:rsid w:val="00F612E8"/>
    <w:rsid w:val="00F77296"/>
    <w:rsid w:val="00FA3828"/>
    <w:rsid w:val="00FD32B6"/>
    <w:rsid w:val="00FF1B17"/>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48E"/>
  </w:style>
  <w:style w:type="paragraph" w:styleId="Heading1">
    <w:name w:val="heading 1"/>
    <w:basedOn w:val="Normal"/>
    <w:next w:val="Normal"/>
    <w:link w:val="Heading1Char"/>
    <w:uiPriority w:val="9"/>
    <w:qFormat/>
    <w:rsid w:val="00EB148E"/>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EB148E"/>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EB148E"/>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EB148E"/>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EB148E"/>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EB148E"/>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EB148E"/>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B148E"/>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EB148E"/>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3E5"/>
    <w:pPr>
      <w:ind w:left="720"/>
      <w:contextualSpacing/>
    </w:pPr>
  </w:style>
  <w:style w:type="paragraph" w:styleId="Header">
    <w:name w:val="header"/>
    <w:basedOn w:val="Normal"/>
    <w:link w:val="HeaderChar"/>
    <w:uiPriority w:val="99"/>
    <w:unhideWhenUsed/>
    <w:rsid w:val="006A24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477"/>
  </w:style>
  <w:style w:type="paragraph" w:styleId="Footer">
    <w:name w:val="footer"/>
    <w:basedOn w:val="Normal"/>
    <w:link w:val="FooterChar"/>
    <w:uiPriority w:val="99"/>
    <w:unhideWhenUsed/>
    <w:rsid w:val="006A24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477"/>
  </w:style>
  <w:style w:type="paragraph" w:styleId="FootnoteText">
    <w:name w:val="footnote text"/>
    <w:basedOn w:val="Normal"/>
    <w:link w:val="FootnoteTextChar"/>
    <w:uiPriority w:val="99"/>
    <w:semiHidden/>
    <w:unhideWhenUsed/>
    <w:rsid w:val="00DF38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3840"/>
    <w:rPr>
      <w:sz w:val="20"/>
      <w:szCs w:val="20"/>
    </w:rPr>
  </w:style>
  <w:style w:type="character" w:styleId="FootnoteReference">
    <w:name w:val="footnote reference"/>
    <w:basedOn w:val="DefaultParagraphFont"/>
    <w:uiPriority w:val="99"/>
    <w:semiHidden/>
    <w:unhideWhenUsed/>
    <w:rsid w:val="00DF3840"/>
    <w:rPr>
      <w:vertAlign w:val="superscript"/>
    </w:rPr>
  </w:style>
  <w:style w:type="character" w:customStyle="1" w:styleId="Heading1Char">
    <w:name w:val="Heading 1 Char"/>
    <w:basedOn w:val="DefaultParagraphFont"/>
    <w:link w:val="Heading1"/>
    <w:uiPriority w:val="9"/>
    <w:rsid w:val="00EB148E"/>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EB148E"/>
    <w:rPr>
      <w:rFonts w:asciiTheme="majorHAnsi" w:eastAsiaTheme="majorEastAsia" w:hAnsiTheme="majorHAnsi" w:cstheme="majorBidi"/>
      <w:color w:val="262626" w:themeColor="text1" w:themeTint="D9"/>
      <w:sz w:val="28"/>
      <w:szCs w:val="28"/>
    </w:rPr>
  </w:style>
  <w:style w:type="paragraph" w:styleId="TOCHeading">
    <w:name w:val="TOC Heading"/>
    <w:basedOn w:val="Heading1"/>
    <w:next w:val="Normal"/>
    <w:uiPriority w:val="39"/>
    <w:unhideWhenUsed/>
    <w:qFormat/>
    <w:rsid w:val="00EB148E"/>
    <w:pPr>
      <w:outlineLvl w:val="9"/>
    </w:pPr>
  </w:style>
  <w:style w:type="paragraph" w:styleId="TOC1">
    <w:name w:val="toc 1"/>
    <w:basedOn w:val="Normal"/>
    <w:next w:val="Normal"/>
    <w:autoRedefine/>
    <w:uiPriority w:val="39"/>
    <w:unhideWhenUsed/>
    <w:rsid w:val="00EB148E"/>
    <w:pPr>
      <w:spacing w:after="100"/>
    </w:pPr>
  </w:style>
  <w:style w:type="paragraph" w:styleId="TOC2">
    <w:name w:val="toc 2"/>
    <w:basedOn w:val="Normal"/>
    <w:next w:val="Normal"/>
    <w:autoRedefine/>
    <w:uiPriority w:val="39"/>
    <w:unhideWhenUsed/>
    <w:rsid w:val="00EB148E"/>
    <w:pPr>
      <w:spacing w:after="100"/>
      <w:ind w:left="220"/>
    </w:pPr>
  </w:style>
  <w:style w:type="character" w:styleId="Hyperlink">
    <w:name w:val="Hyperlink"/>
    <w:basedOn w:val="DefaultParagraphFont"/>
    <w:uiPriority w:val="99"/>
    <w:unhideWhenUsed/>
    <w:rsid w:val="00EB148E"/>
    <w:rPr>
      <w:color w:val="0563C1" w:themeColor="hyperlink"/>
      <w:u w:val="single"/>
    </w:rPr>
  </w:style>
  <w:style w:type="character" w:customStyle="1" w:styleId="Heading3Char">
    <w:name w:val="Heading 3 Char"/>
    <w:basedOn w:val="DefaultParagraphFont"/>
    <w:link w:val="Heading3"/>
    <w:uiPriority w:val="9"/>
    <w:rsid w:val="00EB148E"/>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EB148E"/>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EB148E"/>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EB148E"/>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EB148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B148E"/>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EB148E"/>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EB148E"/>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EB148E"/>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EB148E"/>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EB148E"/>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EB148E"/>
    <w:rPr>
      <w:color w:val="5A5A5A" w:themeColor="text1" w:themeTint="A5"/>
      <w:spacing w:val="15"/>
    </w:rPr>
  </w:style>
  <w:style w:type="character" w:styleId="Strong">
    <w:name w:val="Strong"/>
    <w:basedOn w:val="DefaultParagraphFont"/>
    <w:uiPriority w:val="22"/>
    <w:qFormat/>
    <w:rsid w:val="00EB148E"/>
    <w:rPr>
      <w:b/>
      <w:bCs/>
      <w:color w:val="auto"/>
    </w:rPr>
  </w:style>
  <w:style w:type="character" w:styleId="Emphasis">
    <w:name w:val="Emphasis"/>
    <w:basedOn w:val="DefaultParagraphFont"/>
    <w:uiPriority w:val="20"/>
    <w:qFormat/>
    <w:rsid w:val="00EB148E"/>
    <w:rPr>
      <w:i/>
      <w:iCs/>
      <w:color w:val="auto"/>
    </w:rPr>
  </w:style>
  <w:style w:type="paragraph" w:styleId="NoSpacing">
    <w:name w:val="No Spacing"/>
    <w:uiPriority w:val="1"/>
    <w:qFormat/>
    <w:rsid w:val="00EB148E"/>
    <w:pPr>
      <w:spacing w:after="0" w:line="240" w:lineRule="auto"/>
    </w:pPr>
  </w:style>
  <w:style w:type="paragraph" w:styleId="Quote">
    <w:name w:val="Quote"/>
    <w:basedOn w:val="Normal"/>
    <w:next w:val="Normal"/>
    <w:link w:val="QuoteChar"/>
    <w:uiPriority w:val="29"/>
    <w:qFormat/>
    <w:rsid w:val="00EB148E"/>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EB148E"/>
    <w:rPr>
      <w:i/>
      <w:iCs/>
      <w:color w:val="404040" w:themeColor="text1" w:themeTint="BF"/>
    </w:rPr>
  </w:style>
  <w:style w:type="paragraph" w:styleId="IntenseQuote">
    <w:name w:val="Intense Quote"/>
    <w:basedOn w:val="Normal"/>
    <w:next w:val="Normal"/>
    <w:link w:val="IntenseQuoteChar"/>
    <w:uiPriority w:val="30"/>
    <w:qFormat/>
    <w:rsid w:val="00EB148E"/>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EB148E"/>
    <w:rPr>
      <w:i/>
      <w:iCs/>
      <w:color w:val="404040" w:themeColor="text1" w:themeTint="BF"/>
    </w:rPr>
  </w:style>
  <w:style w:type="character" w:styleId="SubtleEmphasis">
    <w:name w:val="Subtle Emphasis"/>
    <w:basedOn w:val="DefaultParagraphFont"/>
    <w:uiPriority w:val="19"/>
    <w:qFormat/>
    <w:rsid w:val="00EB148E"/>
    <w:rPr>
      <w:i/>
      <w:iCs/>
      <w:color w:val="404040" w:themeColor="text1" w:themeTint="BF"/>
    </w:rPr>
  </w:style>
  <w:style w:type="character" w:styleId="IntenseEmphasis">
    <w:name w:val="Intense Emphasis"/>
    <w:basedOn w:val="DefaultParagraphFont"/>
    <w:uiPriority w:val="21"/>
    <w:qFormat/>
    <w:rsid w:val="00EB148E"/>
    <w:rPr>
      <w:b/>
      <w:bCs/>
      <w:i/>
      <w:iCs/>
      <w:color w:val="auto"/>
    </w:rPr>
  </w:style>
  <w:style w:type="character" w:styleId="SubtleReference">
    <w:name w:val="Subtle Reference"/>
    <w:basedOn w:val="DefaultParagraphFont"/>
    <w:uiPriority w:val="31"/>
    <w:qFormat/>
    <w:rsid w:val="00EB148E"/>
    <w:rPr>
      <w:smallCaps/>
      <w:color w:val="404040" w:themeColor="text1" w:themeTint="BF"/>
    </w:rPr>
  </w:style>
  <w:style w:type="character" w:styleId="IntenseReference">
    <w:name w:val="Intense Reference"/>
    <w:basedOn w:val="DefaultParagraphFont"/>
    <w:uiPriority w:val="32"/>
    <w:qFormat/>
    <w:rsid w:val="00EB148E"/>
    <w:rPr>
      <w:b/>
      <w:bCs/>
      <w:smallCaps/>
      <w:color w:val="404040" w:themeColor="text1" w:themeTint="BF"/>
      <w:spacing w:val="5"/>
    </w:rPr>
  </w:style>
  <w:style w:type="character" w:styleId="BookTitle">
    <w:name w:val="Book Title"/>
    <w:basedOn w:val="DefaultParagraphFont"/>
    <w:uiPriority w:val="33"/>
    <w:qFormat/>
    <w:rsid w:val="00EB148E"/>
    <w:rPr>
      <w:b/>
      <w:bCs/>
      <w:i/>
      <w:iCs/>
      <w:spacing w:val="5"/>
    </w:rPr>
  </w:style>
  <w:style w:type="paragraph" w:styleId="TOC3">
    <w:name w:val="toc 3"/>
    <w:basedOn w:val="Normal"/>
    <w:next w:val="Normal"/>
    <w:autoRedefine/>
    <w:uiPriority w:val="39"/>
    <w:unhideWhenUsed/>
    <w:rsid w:val="00365F9D"/>
    <w:pPr>
      <w:spacing w:after="100"/>
      <w:ind w:left="440"/>
    </w:pPr>
  </w:style>
  <w:style w:type="paragraph" w:styleId="BalloonText">
    <w:name w:val="Balloon Text"/>
    <w:basedOn w:val="Normal"/>
    <w:link w:val="BalloonTextChar"/>
    <w:uiPriority w:val="99"/>
    <w:semiHidden/>
    <w:unhideWhenUsed/>
    <w:rsid w:val="000156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6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48E"/>
  </w:style>
  <w:style w:type="paragraph" w:styleId="Heading1">
    <w:name w:val="heading 1"/>
    <w:basedOn w:val="Normal"/>
    <w:next w:val="Normal"/>
    <w:link w:val="Heading1Char"/>
    <w:uiPriority w:val="9"/>
    <w:qFormat/>
    <w:rsid w:val="00EB148E"/>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EB148E"/>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EB148E"/>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EB148E"/>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EB148E"/>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EB148E"/>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EB148E"/>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B148E"/>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EB148E"/>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3E5"/>
    <w:pPr>
      <w:ind w:left="720"/>
      <w:contextualSpacing/>
    </w:pPr>
  </w:style>
  <w:style w:type="paragraph" w:styleId="Header">
    <w:name w:val="header"/>
    <w:basedOn w:val="Normal"/>
    <w:link w:val="HeaderChar"/>
    <w:uiPriority w:val="99"/>
    <w:unhideWhenUsed/>
    <w:rsid w:val="006A24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477"/>
  </w:style>
  <w:style w:type="paragraph" w:styleId="Footer">
    <w:name w:val="footer"/>
    <w:basedOn w:val="Normal"/>
    <w:link w:val="FooterChar"/>
    <w:uiPriority w:val="99"/>
    <w:unhideWhenUsed/>
    <w:rsid w:val="006A24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477"/>
  </w:style>
  <w:style w:type="paragraph" w:styleId="FootnoteText">
    <w:name w:val="footnote text"/>
    <w:basedOn w:val="Normal"/>
    <w:link w:val="FootnoteTextChar"/>
    <w:uiPriority w:val="99"/>
    <w:semiHidden/>
    <w:unhideWhenUsed/>
    <w:rsid w:val="00DF38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3840"/>
    <w:rPr>
      <w:sz w:val="20"/>
      <w:szCs w:val="20"/>
    </w:rPr>
  </w:style>
  <w:style w:type="character" w:styleId="FootnoteReference">
    <w:name w:val="footnote reference"/>
    <w:basedOn w:val="DefaultParagraphFont"/>
    <w:uiPriority w:val="99"/>
    <w:semiHidden/>
    <w:unhideWhenUsed/>
    <w:rsid w:val="00DF3840"/>
    <w:rPr>
      <w:vertAlign w:val="superscript"/>
    </w:rPr>
  </w:style>
  <w:style w:type="character" w:customStyle="1" w:styleId="Heading1Char">
    <w:name w:val="Heading 1 Char"/>
    <w:basedOn w:val="DefaultParagraphFont"/>
    <w:link w:val="Heading1"/>
    <w:uiPriority w:val="9"/>
    <w:rsid w:val="00EB148E"/>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EB148E"/>
    <w:rPr>
      <w:rFonts w:asciiTheme="majorHAnsi" w:eastAsiaTheme="majorEastAsia" w:hAnsiTheme="majorHAnsi" w:cstheme="majorBidi"/>
      <w:color w:val="262626" w:themeColor="text1" w:themeTint="D9"/>
      <w:sz w:val="28"/>
      <w:szCs w:val="28"/>
    </w:rPr>
  </w:style>
  <w:style w:type="paragraph" w:styleId="TOCHeading">
    <w:name w:val="TOC Heading"/>
    <w:basedOn w:val="Heading1"/>
    <w:next w:val="Normal"/>
    <w:uiPriority w:val="39"/>
    <w:unhideWhenUsed/>
    <w:qFormat/>
    <w:rsid w:val="00EB148E"/>
    <w:pPr>
      <w:outlineLvl w:val="9"/>
    </w:pPr>
  </w:style>
  <w:style w:type="paragraph" w:styleId="TOC1">
    <w:name w:val="toc 1"/>
    <w:basedOn w:val="Normal"/>
    <w:next w:val="Normal"/>
    <w:autoRedefine/>
    <w:uiPriority w:val="39"/>
    <w:unhideWhenUsed/>
    <w:rsid w:val="00EB148E"/>
    <w:pPr>
      <w:spacing w:after="100"/>
    </w:pPr>
  </w:style>
  <w:style w:type="paragraph" w:styleId="TOC2">
    <w:name w:val="toc 2"/>
    <w:basedOn w:val="Normal"/>
    <w:next w:val="Normal"/>
    <w:autoRedefine/>
    <w:uiPriority w:val="39"/>
    <w:unhideWhenUsed/>
    <w:rsid w:val="00EB148E"/>
    <w:pPr>
      <w:spacing w:after="100"/>
      <w:ind w:left="220"/>
    </w:pPr>
  </w:style>
  <w:style w:type="character" w:styleId="Hyperlink">
    <w:name w:val="Hyperlink"/>
    <w:basedOn w:val="DefaultParagraphFont"/>
    <w:uiPriority w:val="99"/>
    <w:unhideWhenUsed/>
    <w:rsid w:val="00EB148E"/>
    <w:rPr>
      <w:color w:val="0563C1" w:themeColor="hyperlink"/>
      <w:u w:val="single"/>
    </w:rPr>
  </w:style>
  <w:style w:type="character" w:customStyle="1" w:styleId="Heading3Char">
    <w:name w:val="Heading 3 Char"/>
    <w:basedOn w:val="DefaultParagraphFont"/>
    <w:link w:val="Heading3"/>
    <w:uiPriority w:val="9"/>
    <w:rsid w:val="00EB148E"/>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EB148E"/>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EB148E"/>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EB148E"/>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EB148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B148E"/>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EB148E"/>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EB148E"/>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EB148E"/>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EB148E"/>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EB148E"/>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EB148E"/>
    <w:rPr>
      <w:color w:val="5A5A5A" w:themeColor="text1" w:themeTint="A5"/>
      <w:spacing w:val="15"/>
    </w:rPr>
  </w:style>
  <w:style w:type="character" w:styleId="Strong">
    <w:name w:val="Strong"/>
    <w:basedOn w:val="DefaultParagraphFont"/>
    <w:uiPriority w:val="22"/>
    <w:qFormat/>
    <w:rsid w:val="00EB148E"/>
    <w:rPr>
      <w:b/>
      <w:bCs/>
      <w:color w:val="auto"/>
    </w:rPr>
  </w:style>
  <w:style w:type="character" w:styleId="Emphasis">
    <w:name w:val="Emphasis"/>
    <w:basedOn w:val="DefaultParagraphFont"/>
    <w:uiPriority w:val="20"/>
    <w:qFormat/>
    <w:rsid w:val="00EB148E"/>
    <w:rPr>
      <w:i/>
      <w:iCs/>
      <w:color w:val="auto"/>
    </w:rPr>
  </w:style>
  <w:style w:type="paragraph" w:styleId="NoSpacing">
    <w:name w:val="No Spacing"/>
    <w:uiPriority w:val="1"/>
    <w:qFormat/>
    <w:rsid w:val="00EB148E"/>
    <w:pPr>
      <w:spacing w:after="0" w:line="240" w:lineRule="auto"/>
    </w:pPr>
  </w:style>
  <w:style w:type="paragraph" w:styleId="Quote">
    <w:name w:val="Quote"/>
    <w:basedOn w:val="Normal"/>
    <w:next w:val="Normal"/>
    <w:link w:val="QuoteChar"/>
    <w:uiPriority w:val="29"/>
    <w:qFormat/>
    <w:rsid w:val="00EB148E"/>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EB148E"/>
    <w:rPr>
      <w:i/>
      <w:iCs/>
      <w:color w:val="404040" w:themeColor="text1" w:themeTint="BF"/>
    </w:rPr>
  </w:style>
  <w:style w:type="paragraph" w:styleId="IntenseQuote">
    <w:name w:val="Intense Quote"/>
    <w:basedOn w:val="Normal"/>
    <w:next w:val="Normal"/>
    <w:link w:val="IntenseQuoteChar"/>
    <w:uiPriority w:val="30"/>
    <w:qFormat/>
    <w:rsid w:val="00EB148E"/>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EB148E"/>
    <w:rPr>
      <w:i/>
      <w:iCs/>
      <w:color w:val="404040" w:themeColor="text1" w:themeTint="BF"/>
    </w:rPr>
  </w:style>
  <w:style w:type="character" w:styleId="SubtleEmphasis">
    <w:name w:val="Subtle Emphasis"/>
    <w:basedOn w:val="DefaultParagraphFont"/>
    <w:uiPriority w:val="19"/>
    <w:qFormat/>
    <w:rsid w:val="00EB148E"/>
    <w:rPr>
      <w:i/>
      <w:iCs/>
      <w:color w:val="404040" w:themeColor="text1" w:themeTint="BF"/>
    </w:rPr>
  </w:style>
  <w:style w:type="character" w:styleId="IntenseEmphasis">
    <w:name w:val="Intense Emphasis"/>
    <w:basedOn w:val="DefaultParagraphFont"/>
    <w:uiPriority w:val="21"/>
    <w:qFormat/>
    <w:rsid w:val="00EB148E"/>
    <w:rPr>
      <w:b/>
      <w:bCs/>
      <w:i/>
      <w:iCs/>
      <w:color w:val="auto"/>
    </w:rPr>
  </w:style>
  <w:style w:type="character" w:styleId="SubtleReference">
    <w:name w:val="Subtle Reference"/>
    <w:basedOn w:val="DefaultParagraphFont"/>
    <w:uiPriority w:val="31"/>
    <w:qFormat/>
    <w:rsid w:val="00EB148E"/>
    <w:rPr>
      <w:smallCaps/>
      <w:color w:val="404040" w:themeColor="text1" w:themeTint="BF"/>
    </w:rPr>
  </w:style>
  <w:style w:type="character" w:styleId="IntenseReference">
    <w:name w:val="Intense Reference"/>
    <w:basedOn w:val="DefaultParagraphFont"/>
    <w:uiPriority w:val="32"/>
    <w:qFormat/>
    <w:rsid w:val="00EB148E"/>
    <w:rPr>
      <w:b/>
      <w:bCs/>
      <w:smallCaps/>
      <w:color w:val="404040" w:themeColor="text1" w:themeTint="BF"/>
      <w:spacing w:val="5"/>
    </w:rPr>
  </w:style>
  <w:style w:type="character" w:styleId="BookTitle">
    <w:name w:val="Book Title"/>
    <w:basedOn w:val="DefaultParagraphFont"/>
    <w:uiPriority w:val="33"/>
    <w:qFormat/>
    <w:rsid w:val="00EB148E"/>
    <w:rPr>
      <w:b/>
      <w:bCs/>
      <w:i/>
      <w:iCs/>
      <w:spacing w:val="5"/>
    </w:rPr>
  </w:style>
  <w:style w:type="paragraph" w:styleId="TOC3">
    <w:name w:val="toc 3"/>
    <w:basedOn w:val="Normal"/>
    <w:next w:val="Normal"/>
    <w:autoRedefine/>
    <w:uiPriority w:val="39"/>
    <w:unhideWhenUsed/>
    <w:rsid w:val="00365F9D"/>
    <w:pPr>
      <w:spacing w:after="100"/>
      <w:ind w:left="440"/>
    </w:pPr>
  </w:style>
  <w:style w:type="paragraph" w:styleId="BalloonText">
    <w:name w:val="Balloon Text"/>
    <w:basedOn w:val="Normal"/>
    <w:link w:val="BalloonTextChar"/>
    <w:uiPriority w:val="99"/>
    <w:semiHidden/>
    <w:unhideWhenUsed/>
    <w:rsid w:val="000156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6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594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C3350-13B1-4EFF-9A21-9FE0D3987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1956</Words>
  <Characters>10758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W</dc:creator>
  <cp:lastModifiedBy>Janet Dench</cp:lastModifiedBy>
  <cp:revision>3</cp:revision>
  <dcterms:created xsi:type="dcterms:W3CDTF">2015-02-17T16:17:00Z</dcterms:created>
  <dcterms:modified xsi:type="dcterms:W3CDTF">2015-02-17T16:28:00Z</dcterms:modified>
</cp:coreProperties>
</file>